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9FB3" w14:textId="264E1DF6" w:rsidR="00486B1A" w:rsidRPr="00486B1A" w:rsidRDefault="00000000" w:rsidP="00C06859">
      <w:pPr>
        <w:spacing w:after="0"/>
      </w:pPr>
      <w:sdt>
        <w:sdtPr>
          <w:rPr>
            <w:rStyle w:val="Heading1Char"/>
            <w:sz w:val="48"/>
            <w:szCs w:val="48"/>
          </w:rPr>
          <w:alias w:val="Title"/>
          <w:tag w:val=""/>
          <w:id w:val="1270197154"/>
          <w:placeholder>
            <w:docPart w:val="7CF0D4D55CC344DCA2686DF1180E7B2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84728">
            <w:rPr>
              <w:rStyle w:val="Heading1Char"/>
              <w:sz w:val="48"/>
              <w:szCs w:val="48"/>
            </w:rPr>
            <w:t>Work Health and Safety</w:t>
          </w:r>
          <w:r w:rsidR="00C77C0F">
            <w:rPr>
              <w:rStyle w:val="Heading1Char"/>
              <w:sz w:val="48"/>
              <w:szCs w:val="48"/>
            </w:rPr>
            <w:t xml:space="preserve"> </w:t>
          </w:r>
          <w:r w:rsidR="00C77C0F" w:rsidRPr="00C77C0F">
            <w:rPr>
              <w:rStyle w:val="Heading1Char"/>
              <w:sz w:val="48"/>
              <w:szCs w:val="48"/>
            </w:rPr>
            <w:t>Policy</w:t>
          </w:r>
        </w:sdtContent>
      </w:sdt>
      <w:r>
        <w:pict w14:anchorId="3E328EBF">
          <v:rect id="_x0000_i1025" style="width:0;height:1.5pt" o:hralign="center" o:hrstd="t" o:hr="t" fillcolor="#a0a0a0" stroked="f"/>
        </w:pict>
      </w:r>
    </w:p>
    <w:p w14:paraId="5AF66007" w14:textId="5D5EEDEA" w:rsidR="00486B1A" w:rsidRDefault="00486B1A" w:rsidP="00C06859">
      <w:pPr>
        <w:pStyle w:val="Heading2"/>
        <w:spacing w:before="0" w:after="0"/>
      </w:pPr>
      <w:r w:rsidRPr="00486B1A">
        <w:t xml:space="preserve">Section A: </w:t>
      </w:r>
      <w:r w:rsidR="00E210CA">
        <w:t>Purpose</w:t>
      </w:r>
    </w:p>
    <w:p w14:paraId="71F1E874" w14:textId="77777777" w:rsidR="00320155" w:rsidRPr="00320155" w:rsidRDefault="00320155" w:rsidP="0032015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7405"/>
      </w:tblGrid>
      <w:tr w:rsidR="00CF3773" w:rsidRPr="00486B1A" w14:paraId="30E938D1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0809CF" w14:textId="218F0DC5" w:rsidR="00CF3773" w:rsidRPr="00486B1A" w:rsidRDefault="00CF3773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6D3DD1" w14:textId="281D1C22" w:rsidR="00826789" w:rsidRPr="00511A5A" w:rsidRDefault="00A165D6" w:rsidP="00C06859">
            <w:pPr>
              <w:spacing w:after="0"/>
            </w:pPr>
            <w:r w:rsidRPr="00A165D6">
              <w:t>Velocity Civil is committed to providing a safe and healthy working environment for all employees, contractors, trainees and visitors. We recogni</w:t>
            </w:r>
            <w:r w:rsidR="00E80173">
              <w:t>s</w:t>
            </w:r>
            <w:r w:rsidRPr="00A165D6">
              <w:t>e that our operations bridge technical corporate offices, training environments and active civil construction sites, each presenting unique risk profiles.</w:t>
            </w:r>
          </w:p>
        </w:tc>
      </w:tr>
      <w:tr w:rsidR="00486B1A" w:rsidRPr="00486B1A" w14:paraId="3ED0F55E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86AAF" w14:textId="3E3849AC" w:rsidR="00486B1A" w:rsidRPr="00486B1A" w:rsidRDefault="00CF3773" w:rsidP="00C06859">
            <w:pPr>
              <w:spacing w:after="0"/>
            </w:pPr>
            <w:r>
              <w:rPr>
                <w:b/>
                <w:bCs/>
              </w:rPr>
              <w:t>Purpose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4652C" w14:textId="7751BA68" w:rsidR="00486B1A" w:rsidRDefault="00A165D6" w:rsidP="00C06859">
            <w:pPr>
              <w:spacing w:after="0"/>
            </w:pPr>
            <w:r w:rsidRPr="00A165D6">
              <w:t xml:space="preserve">Our core </w:t>
            </w:r>
            <w:r w:rsidRPr="003B7D2B">
              <w:t>objective is zero harm. We believe</w:t>
            </w:r>
            <w:r w:rsidRPr="00A165D6">
              <w:t xml:space="preserve"> that all workplace injuries and illnesses are preventable. Velocity Civil establishes this policy to meet and exceed our duties under harmoni</w:t>
            </w:r>
            <w:r w:rsidR="003B7D2B">
              <w:t>s</w:t>
            </w:r>
            <w:r w:rsidRPr="00A165D6">
              <w:t>ed WHS legislation across Australia.</w:t>
            </w:r>
          </w:p>
          <w:p w14:paraId="57B6DAE0" w14:textId="77777777" w:rsidR="00AA450C" w:rsidRDefault="00AA450C" w:rsidP="00C06859">
            <w:pPr>
              <w:spacing w:after="0"/>
            </w:pPr>
          </w:p>
          <w:p w14:paraId="3141A7D9" w14:textId="15691ACD" w:rsidR="00AA450C" w:rsidRPr="00511A5A" w:rsidRDefault="00AA450C" w:rsidP="00C06859">
            <w:pPr>
              <w:spacing w:after="0"/>
            </w:pPr>
            <w:r w:rsidRPr="00AA450C">
              <w:t>It covers all work activities conducted at Velocity Civil offices, training facilities, client sites and active civil construction field environments.</w:t>
            </w:r>
          </w:p>
        </w:tc>
      </w:tr>
      <w:tr w:rsidR="00A1402F" w:rsidRPr="00486B1A" w14:paraId="4DE20B5F" w14:textId="77777777" w:rsidTr="008049ED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C629DB" w14:textId="4741FA08" w:rsidR="00A1402F" w:rsidRDefault="00A1402F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Target Audience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409006" w14:textId="7CCDB8FE" w:rsidR="00A1402F" w:rsidRPr="00A1402F" w:rsidRDefault="00AA450C" w:rsidP="00A1402F">
            <w:pPr>
              <w:spacing w:after="0"/>
            </w:pPr>
            <w:r>
              <w:t>All personnel.</w:t>
            </w:r>
          </w:p>
        </w:tc>
      </w:tr>
    </w:tbl>
    <w:p w14:paraId="7B4DEA3E" w14:textId="77777777" w:rsidR="00CF3773" w:rsidRDefault="00CF3773" w:rsidP="00C06859">
      <w:pPr>
        <w:pStyle w:val="Heading2"/>
        <w:spacing w:before="0" w:after="0"/>
      </w:pPr>
    </w:p>
    <w:p w14:paraId="072E736E" w14:textId="56FB29E0" w:rsidR="00486B1A" w:rsidRDefault="00486B1A" w:rsidP="00C06859">
      <w:pPr>
        <w:pStyle w:val="Heading2"/>
        <w:spacing w:before="0" w:after="0"/>
      </w:pPr>
      <w:r w:rsidRPr="00486B1A">
        <w:t xml:space="preserve">Section B: </w:t>
      </w:r>
      <w:r w:rsidR="00AA450C">
        <w:t xml:space="preserve">Core </w:t>
      </w:r>
      <w:r w:rsidR="003B7D2B">
        <w:t>Responsibilities</w:t>
      </w:r>
    </w:p>
    <w:p w14:paraId="1B322E65" w14:textId="77777777" w:rsidR="00320155" w:rsidRPr="00320155" w:rsidRDefault="00320155" w:rsidP="00320155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393E9C" w:rsidRPr="00486B1A" w14:paraId="4F5A2275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AD733" w14:textId="7C82566E" w:rsidR="00393E9C" w:rsidRPr="00486B1A" w:rsidRDefault="00A32560" w:rsidP="00C06859">
            <w:pPr>
              <w:spacing w:after="0"/>
              <w:rPr>
                <w:b/>
                <w:bCs/>
              </w:rPr>
            </w:pPr>
            <w:r w:rsidRPr="00A32560">
              <w:rPr>
                <w:b/>
                <w:bCs/>
              </w:rPr>
              <w:t xml:space="preserve">All engineering activities undertaken by </w:t>
            </w:r>
            <w:r w:rsidR="000623FF">
              <w:rPr>
                <w:b/>
                <w:bCs/>
              </w:rPr>
              <w:t>Velocity Civil</w:t>
            </w:r>
            <w:r w:rsidRPr="00A32560">
              <w:rPr>
                <w:b/>
                <w:bCs/>
              </w:rPr>
              <w:t xml:space="preserve"> must comply with the relevant state, territory and national statutory frameworks governing professional practice across Australia.</w:t>
            </w:r>
          </w:p>
        </w:tc>
      </w:tr>
      <w:tr w:rsidR="00CF3773" w:rsidRPr="00486B1A" w14:paraId="4B96550B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E8B4D9" w14:textId="3E9DFA14" w:rsidR="00CF3773" w:rsidRPr="00B60463" w:rsidRDefault="00642AB6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Executive Leadership and Management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D8A88" w14:textId="10213D2C" w:rsidR="00F26432" w:rsidRPr="00A43B79" w:rsidRDefault="00F26432" w:rsidP="003B7D2B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Due Diligence: Maintain up-to-date knowledge of WHS matters and ensure Velocity Civil allocates appropriate resources, processes</w:t>
            </w:r>
            <w:r w:rsidR="002F3099" w:rsidRPr="00A43B79">
              <w:t xml:space="preserve"> </w:t>
            </w:r>
            <w:r w:rsidRPr="00A43B79">
              <w:t>and budgets to eliminate or minimi</w:t>
            </w:r>
            <w:r w:rsidR="002F3099" w:rsidRPr="00A43B79">
              <w:t>s</w:t>
            </w:r>
            <w:r w:rsidRPr="00A43B79">
              <w:t>e risks.</w:t>
            </w:r>
          </w:p>
          <w:p w14:paraId="2D6EDA93" w14:textId="32CDCCCF" w:rsidR="00CF3773" w:rsidRPr="00A43B79" w:rsidRDefault="00F26432" w:rsidP="002F3099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System Integrity: Ensure a robust Work Health and Safety Management System (WHSMS) is implemented, maintained and actively audited.</w:t>
            </w:r>
          </w:p>
        </w:tc>
      </w:tr>
      <w:tr w:rsidR="00CF3773" w:rsidRPr="00486B1A" w14:paraId="2C073C51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4959A4" w14:textId="40B9A237" w:rsidR="00CF3773" w:rsidRPr="00B60463" w:rsidRDefault="00642AB6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Supervisors, Lead Designers and Trainers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CCD78" w14:textId="1C36F07A" w:rsidR="00F26432" w:rsidRPr="00A43B79" w:rsidRDefault="00F26432" w:rsidP="003B7D2B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Operational Oversight: Ensure that team members, designers, and trainees are trained in, understand and strictly follow safe work procedures.</w:t>
            </w:r>
          </w:p>
          <w:p w14:paraId="3EC35D92" w14:textId="5603B724" w:rsidR="00F26432" w:rsidRPr="00A43B79" w:rsidRDefault="00F26432" w:rsidP="003B7D2B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Risk Mitigation: Conduct active risk assessments before undertaking field site inspections, asset verifications or structural investigations</w:t>
            </w:r>
            <w:r w:rsidR="002F3099" w:rsidRPr="00A43B79">
              <w:t>.</w:t>
            </w:r>
          </w:p>
          <w:p w14:paraId="5600CFD4" w14:textId="6E3A26A2" w:rsidR="00CF3773" w:rsidRPr="00A43B79" w:rsidRDefault="00CF3773" w:rsidP="003B7D2B">
            <w:pPr>
              <w:spacing w:after="0"/>
              <w:ind w:left="415"/>
            </w:pPr>
          </w:p>
        </w:tc>
      </w:tr>
      <w:tr w:rsidR="00F26432" w:rsidRPr="00486B1A" w14:paraId="701EF8EC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465AC4" w14:textId="09766237" w:rsidR="00F26432" w:rsidRPr="00A32560" w:rsidRDefault="00642AB6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Workers, Contractors and Trainees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85CCA1" w14:textId="72389E54" w:rsidR="00F26432" w:rsidRPr="00A43B79" w:rsidRDefault="00F26432" w:rsidP="003B7D2B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Duty of Care: Take reasonable care for their own health and safety and ensure their acts or omissions do not adversely affect the health and safety of others.</w:t>
            </w:r>
          </w:p>
          <w:p w14:paraId="6207DD3B" w14:textId="3121E468" w:rsidR="00F26432" w:rsidRPr="00A43B79" w:rsidRDefault="00F26432" w:rsidP="003B7D2B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Compliance: Comply with all reasonable instructions, policies, and Safe Work Method Statements (SWMS) provided by Velocity Civil.</w:t>
            </w:r>
          </w:p>
          <w:p w14:paraId="7014FC46" w14:textId="5AC9913E" w:rsidR="00F26432" w:rsidRPr="00A43B79" w:rsidRDefault="00F26432" w:rsidP="002F3099">
            <w:pPr>
              <w:pStyle w:val="ListParagraph"/>
              <w:numPr>
                <w:ilvl w:val="0"/>
                <w:numId w:val="15"/>
              </w:numPr>
              <w:spacing w:after="0"/>
              <w:ind w:left="415"/>
            </w:pPr>
            <w:r w:rsidRPr="00A43B79">
              <w:t>Reporting: Immediately report any hazards, near-misses, injuries or ill health to their supervisor or through the Velocity Civil Incident Register.</w:t>
            </w:r>
          </w:p>
        </w:tc>
      </w:tr>
    </w:tbl>
    <w:p w14:paraId="6375CF61" w14:textId="77777777" w:rsidR="00D50E11" w:rsidRPr="00D50E11" w:rsidRDefault="00D50E11" w:rsidP="00C06859">
      <w:pPr>
        <w:pStyle w:val="Heading3"/>
        <w:spacing w:before="0" w:after="0"/>
        <w:rPr>
          <w:sz w:val="24"/>
          <w:szCs w:val="24"/>
        </w:rPr>
      </w:pPr>
    </w:p>
    <w:p w14:paraId="56D891BE" w14:textId="69B71842" w:rsidR="00486B1A" w:rsidRDefault="00486B1A" w:rsidP="00C06859">
      <w:pPr>
        <w:pStyle w:val="Heading3"/>
        <w:spacing w:before="0" w:after="0"/>
      </w:pPr>
      <w:r w:rsidRPr="00486B1A">
        <w:t xml:space="preserve">Section C: </w:t>
      </w:r>
      <w:r w:rsidR="00C278D5">
        <w:t>Risk Management</w:t>
      </w:r>
    </w:p>
    <w:p w14:paraId="51DF564C" w14:textId="77777777" w:rsidR="00320155" w:rsidRPr="00320155" w:rsidRDefault="00320155" w:rsidP="00320155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E64AF6" w:rsidRPr="00486B1A" w14:paraId="44212E6D" w14:textId="77777777" w:rsidTr="008049ED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03655" w14:textId="73B30CB1" w:rsidR="00E64AF6" w:rsidRPr="00486B1A" w:rsidRDefault="00C278D5" w:rsidP="00C06859">
            <w:pPr>
              <w:spacing w:after="0"/>
              <w:rPr>
                <w:b/>
                <w:bCs/>
              </w:rPr>
            </w:pPr>
            <w:r w:rsidRPr="00C278D5">
              <w:rPr>
                <w:b/>
                <w:bCs/>
              </w:rPr>
              <w:t>Velocity Civil operates across two primary work environments, requiring distinct risk management approaches managed via the Hierarchy of Control:</w:t>
            </w:r>
          </w:p>
        </w:tc>
      </w:tr>
      <w:tr w:rsidR="00E64AF6" w:rsidRPr="00486B1A" w14:paraId="1AA0B22A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ED361" w14:textId="4C0A6658" w:rsidR="00197061" w:rsidRPr="00F45DC7" w:rsidRDefault="001C6347" w:rsidP="00C06859">
            <w:pPr>
              <w:spacing w:after="0"/>
              <w:rPr>
                <w:b/>
                <w:bCs/>
              </w:rPr>
            </w:pPr>
            <w:r w:rsidRPr="001C6347">
              <w:rPr>
                <w:b/>
                <w:bCs/>
              </w:rPr>
              <w:t>Design Office &amp; Training Environments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96E6DF" w14:textId="09F4BBF7" w:rsidR="001C6347" w:rsidRPr="00A43B79" w:rsidRDefault="001C6347" w:rsidP="001C6347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A43B79">
              <w:t>Ergonomics &amp; Posture: Regular workstation assessments for civil designers and</w:t>
            </w:r>
            <w:r w:rsidR="008E2E00" w:rsidRPr="00A43B79">
              <w:t xml:space="preserve"> trainees</w:t>
            </w:r>
            <w:r w:rsidRPr="00A43B79">
              <w:t xml:space="preserve"> utili</w:t>
            </w:r>
            <w:r w:rsidR="008E2E00" w:rsidRPr="00A43B79">
              <w:t>s</w:t>
            </w:r>
            <w:r w:rsidRPr="00A43B79">
              <w:t>ing AutoCAD, BIM software and dual-monitor systems to prevent musculoskeletal disorders.</w:t>
            </w:r>
          </w:p>
          <w:p w14:paraId="16000A88" w14:textId="7493F18B" w:rsidR="00E64AF6" w:rsidRPr="00A43B79" w:rsidRDefault="001C6347" w:rsidP="008E2E0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A43B79">
              <w:t>Psychological Health: Active management of workloads, project deadlines and training milestones to mitigate psychological injury and stress-related conditions.</w:t>
            </w:r>
          </w:p>
        </w:tc>
      </w:tr>
      <w:tr w:rsidR="00E64AF6" w:rsidRPr="00486B1A" w14:paraId="6EAFA13D" w14:textId="77777777" w:rsidTr="008049ED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DFB5EC" w14:textId="18670DDC" w:rsidR="00197061" w:rsidRPr="00F45DC7" w:rsidRDefault="001C6347" w:rsidP="00C06859">
            <w:pPr>
              <w:spacing w:after="0"/>
              <w:rPr>
                <w:b/>
                <w:bCs/>
              </w:rPr>
            </w:pPr>
            <w:r w:rsidRPr="001C6347">
              <w:rPr>
                <w:b/>
                <w:bCs/>
              </w:rPr>
              <w:t>Field Sites &amp; Construction Environments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C160C" w14:textId="0F029F63" w:rsidR="00350C2D" w:rsidRPr="00A43B79" w:rsidRDefault="00350C2D" w:rsidP="00350C2D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A43B79">
              <w:t>Site Induction: No worker or trainee may step onto an active civil construction site without a valid General Construction Induction Card (White Card) and a verified principal contractor site-specific induction.</w:t>
            </w:r>
          </w:p>
          <w:p w14:paraId="69E69117" w14:textId="13AF1130" w:rsidR="00350C2D" w:rsidRPr="00A43B79" w:rsidRDefault="00350C2D" w:rsidP="00350C2D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A43B79">
              <w:t>Mandatory PPE: High-visibility clothing (</w:t>
            </w:r>
            <m:oMath>
              <m:r>
                <w:rPr>
                  <w:rFonts w:ascii="Cambria Math" w:hAnsi="Cambria Math"/>
                </w:rPr>
                <m:t>AS/NZS4602.1</m:t>
              </m:r>
            </m:oMath>
            <w:r w:rsidRPr="00A43B79">
              <w:t>), steel-capped safety boots (</w:t>
            </w:r>
            <m:oMath>
              <m:r>
                <w:rPr>
                  <w:rFonts w:ascii="Cambria Math" w:hAnsi="Cambria Math"/>
                </w:rPr>
                <m:t>AS2210.3</m:t>
              </m:r>
            </m:oMath>
            <w:r w:rsidRPr="00A43B79">
              <w:t>), safety helmets (</w:t>
            </w:r>
            <m:oMath>
              <m:r>
                <w:rPr>
                  <w:rFonts w:ascii="Cambria Math" w:hAnsi="Cambria Math"/>
                </w:rPr>
                <m:t>AS/NZS1801</m:t>
              </m:r>
            </m:oMath>
            <w:r w:rsidRPr="00A43B79">
              <w:t xml:space="preserve">), and eye/hearing protection must be </w:t>
            </w:r>
            <w:r w:rsidR="00033689" w:rsidRPr="00A43B79">
              <w:t>always worn</w:t>
            </w:r>
            <w:r w:rsidRPr="00A43B79">
              <w:t xml:space="preserve"> in designated field zones.</w:t>
            </w:r>
          </w:p>
          <w:p w14:paraId="1E52EF36" w14:textId="2F5DD946" w:rsidR="00E64AF6" w:rsidRPr="00A43B79" w:rsidRDefault="00350C2D" w:rsidP="00033689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A43B79">
              <w:t>Dynamic Risk Assessment: Completion of a Take-5 or site-specific risk assessment prior to conducting survey checks, concrete testing or steel-fixing inspections.</w:t>
            </w:r>
          </w:p>
        </w:tc>
      </w:tr>
    </w:tbl>
    <w:p w14:paraId="1906D1ED" w14:textId="77777777" w:rsidR="00E64AF6" w:rsidRDefault="00E64AF6" w:rsidP="00C06859">
      <w:pPr>
        <w:spacing w:after="0"/>
      </w:pPr>
    </w:p>
    <w:p w14:paraId="7A851697" w14:textId="3E652873" w:rsidR="005B7CDB" w:rsidRDefault="005B7CDB" w:rsidP="00C06859">
      <w:pPr>
        <w:pStyle w:val="Heading3"/>
        <w:spacing w:before="0" w:after="0"/>
      </w:pPr>
      <w:r w:rsidRPr="00486B1A">
        <w:t xml:space="preserve">Section </w:t>
      </w:r>
      <w:r>
        <w:t>D</w:t>
      </w:r>
      <w:r w:rsidRPr="00486B1A">
        <w:t xml:space="preserve">: </w:t>
      </w:r>
      <w:r w:rsidR="00350C2D">
        <w:t>Consultation and Communication</w:t>
      </w:r>
    </w:p>
    <w:p w14:paraId="6076C096" w14:textId="77777777" w:rsidR="00320155" w:rsidRPr="00320155" w:rsidRDefault="00320155" w:rsidP="00320155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5B7CDB" w:rsidRPr="00486B1A" w14:paraId="1D8920DF" w14:textId="77777777" w:rsidTr="008049ED">
        <w:trPr>
          <w:cantSplit/>
        </w:trPr>
        <w:tc>
          <w:tcPr>
            <w:tcW w:w="9064" w:type="dxa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097B7" w14:textId="7421E37F" w:rsidR="005B7CDB" w:rsidRPr="00486B1A" w:rsidRDefault="00350C2D" w:rsidP="00C06859">
            <w:pPr>
              <w:spacing w:after="0"/>
              <w:rPr>
                <w:b/>
                <w:bCs/>
              </w:rPr>
            </w:pPr>
            <w:r w:rsidRPr="00350C2D">
              <w:rPr>
                <w:b/>
                <w:bCs/>
              </w:rPr>
              <w:t>Velocity Civil recogni</w:t>
            </w:r>
            <w:r w:rsidR="00033689">
              <w:rPr>
                <w:b/>
                <w:bCs/>
              </w:rPr>
              <w:t>s</w:t>
            </w:r>
            <w:r w:rsidRPr="00350C2D">
              <w:rPr>
                <w:b/>
                <w:bCs/>
              </w:rPr>
              <w:t>es that worker participation is vital for effective risk management. We commit to:</w:t>
            </w:r>
          </w:p>
        </w:tc>
      </w:tr>
      <w:tr w:rsidR="00E60AF0" w:rsidRPr="00486B1A" w14:paraId="26B21E55" w14:textId="77777777" w:rsidTr="00BD7928">
        <w:tc>
          <w:tcPr>
            <w:tcW w:w="906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034200" w14:textId="2968069C" w:rsidR="003B3625" w:rsidRPr="003B3625" w:rsidRDefault="003B3625" w:rsidP="003B3625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3B3625">
              <w:t>Consulting with workers and Health and Safety Representatives (HSRs) on decisions that directly affect their health, safety, and welfare.</w:t>
            </w:r>
          </w:p>
          <w:p w14:paraId="28858E55" w14:textId="11489322" w:rsidR="00E60AF0" w:rsidRPr="00486B1A" w:rsidRDefault="003B3625" w:rsidP="002A7BD4">
            <w:pPr>
              <w:pStyle w:val="ListParagraph"/>
              <w:numPr>
                <w:ilvl w:val="0"/>
                <w:numId w:val="12"/>
              </w:numPr>
              <w:spacing w:after="0"/>
            </w:pPr>
            <w:r w:rsidRPr="003B3625">
              <w:t>Maintaining open communication channels through regular safety toolbox talks, team meetings, and accessible digital safety dashboards.</w:t>
            </w:r>
          </w:p>
        </w:tc>
      </w:tr>
    </w:tbl>
    <w:p w14:paraId="2CEF118C" w14:textId="77777777" w:rsidR="00320155" w:rsidRDefault="00320155" w:rsidP="00E60AF0">
      <w:pPr>
        <w:pStyle w:val="Heading3"/>
        <w:spacing w:before="0" w:after="0"/>
      </w:pPr>
    </w:p>
    <w:p w14:paraId="5DE89922" w14:textId="3B224648" w:rsidR="00E60AF0" w:rsidRDefault="00E60AF0" w:rsidP="00E60AF0">
      <w:pPr>
        <w:pStyle w:val="Heading3"/>
        <w:spacing w:before="0" w:after="0"/>
      </w:pPr>
      <w:r w:rsidRPr="00486B1A">
        <w:t xml:space="preserve">Section </w:t>
      </w:r>
      <w:r>
        <w:t>E</w:t>
      </w:r>
      <w:r w:rsidRPr="00486B1A">
        <w:t xml:space="preserve">: </w:t>
      </w:r>
      <w:r w:rsidR="003B3625">
        <w:t>Immediate Reporting, Investigation and Continuous Improvement</w:t>
      </w:r>
    </w:p>
    <w:p w14:paraId="706D75BE" w14:textId="77777777" w:rsidR="00320155" w:rsidRPr="00320155" w:rsidRDefault="00320155" w:rsidP="00320155"/>
    <w:tbl>
      <w:tblPr>
        <w:tblW w:w="9064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E60AF0" w:rsidRPr="00486B1A" w14:paraId="39111255" w14:textId="77777777" w:rsidTr="006C4D74">
        <w:trPr>
          <w:cantSplit/>
        </w:trPr>
        <w:tc>
          <w:tcPr>
            <w:tcW w:w="9064" w:type="dxa"/>
            <w:gridSpan w:val="2"/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79AF9" w14:textId="01130837" w:rsidR="00E60AF0" w:rsidRPr="00486B1A" w:rsidRDefault="00C722C2" w:rsidP="006C4D74">
            <w:pPr>
              <w:spacing w:after="0"/>
              <w:rPr>
                <w:b/>
                <w:bCs/>
              </w:rPr>
            </w:pPr>
            <w:r w:rsidRPr="00C722C2">
              <w:rPr>
                <w:b/>
                <w:bCs/>
              </w:rPr>
              <w:t xml:space="preserve">This section outlines the mandatory compliance mechanisms, ongoing audit protocols and professional development requirements necessary to sustain legal registration and uphold technical accountability across Velocity </w:t>
            </w:r>
            <w:r>
              <w:rPr>
                <w:b/>
                <w:bCs/>
              </w:rPr>
              <w:t xml:space="preserve">Civil </w:t>
            </w:r>
            <w:r w:rsidRPr="00C722C2">
              <w:rPr>
                <w:b/>
                <w:bCs/>
              </w:rPr>
              <w:t>operations.</w:t>
            </w:r>
          </w:p>
        </w:tc>
      </w:tr>
      <w:tr w:rsidR="00E60AF0" w:rsidRPr="00486B1A" w14:paraId="7D9C7E1D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9127B" w14:textId="20E389F1" w:rsidR="00E60AF0" w:rsidRPr="00F45DC7" w:rsidRDefault="003271CD" w:rsidP="006C4D74">
            <w:pPr>
              <w:spacing w:after="0"/>
              <w:rPr>
                <w:b/>
                <w:bCs/>
              </w:rPr>
            </w:pPr>
            <w:r w:rsidRPr="003271CD">
              <w:rPr>
                <w:b/>
                <w:bCs/>
              </w:rPr>
              <w:t>Immediate Notification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6DD17" w14:textId="0E787922" w:rsidR="00E60AF0" w:rsidRPr="00486B1A" w:rsidRDefault="00534213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534213">
              <w:t>All incidents, regardless of severity, must be logged into the Velocity Civil Information Management System (IMS) within 24 hours.</w:t>
            </w:r>
          </w:p>
        </w:tc>
      </w:tr>
      <w:tr w:rsidR="00E60AF0" w:rsidRPr="00486B1A" w14:paraId="773676F0" w14:textId="77777777" w:rsidTr="00C76314">
        <w:trPr>
          <w:trHeight w:val="223"/>
        </w:trPr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F18AA" w14:textId="24B4A058" w:rsidR="00E60AF0" w:rsidRPr="00F45DC7" w:rsidRDefault="003271CD" w:rsidP="006C4D74">
            <w:pPr>
              <w:spacing w:after="0"/>
              <w:rPr>
                <w:b/>
                <w:bCs/>
              </w:rPr>
            </w:pPr>
            <w:r w:rsidRPr="003271CD">
              <w:rPr>
                <w:b/>
                <w:bCs/>
              </w:rPr>
              <w:t>Statutory Reporting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234F5" w14:textId="50745057" w:rsidR="00E60AF0" w:rsidRPr="00486B1A" w:rsidRDefault="00534213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534213">
              <w:t xml:space="preserve">Notifiable incidents (as defined under Section 35-37 of the WHS Act) will be reported immediately to the relevant state regulator by the Designated Safety </w:t>
            </w:r>
            <w:r w:rsidR="00A43B79">
              <w:t>Coordinator.</w:t>
            </w:r>
          </w:p>
        </w:tc>
      </w:tr>
      <w:tr w:rsidR="001C3708" w:rsidRPr="00486B1A" w14:paraId="3E01EAB3" w14:textId="77777777" w:rsidTr="006C4D74"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2520B7" w14:textId="200428AB" w:rsidR="001C3708" w:rsidRPr="001C3708" w:rsidRDefault="003271CD" w:rsidP="006C4D74">
            <w:pPr>
              <w:spacing w:after="0"/>
              <w:rPr>
                <w:b/>
                <w:bCs/>
              </w:rPr>
            </w:pPr>
            <w:r w:rsidRPr="003271CD">
              <w:rPr>
                <w:b/>
                <w:bCs/>
              </w:rPr>
              <w:t>Root Cause Analysis</w:t>
            </w:r>
          </w:p>
        </w:tc>
        <w:tc>
          <w:tcPr>
            <w:tcW w:w="694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64D310" w14:textId="2D2847A4" w:rsidR="001C3708" w:rsidRPr="001B53B4" w:rsidRDefault="00534213" w:rsidP="00E60AF0">
            <w:pPr>
              <w:pStyle w:val="ListParagraph"/>
              <w:numPr>
                <w:ilvl w:val="0"/>
                <w:numId w:val="7"/>
              </w:numPr>
              <w:spacing w:after="0"/>
              <w:ind w:left="415"/>
            </w:pPr>
            <w:r w:rsidRPr="00534213">
              <w:t>Every near-miss and injury will trigger an investigation to identify systemic gaps, leading to updated safe work procedures and prevention strategies.</w:t>
            </w:r>
          </w:p>
        </w:tc>
      </w:tr>
    </w:tbl>
    <w:p w14:paraId="52AE72E2" w14:textId="77777777" w:rsidR="00F776DB" w:rsidRPr="00F776DB" w:rsidRDefault="00F776DB" w:rsidP="00F776DB"/>
    <w:p w14:paraId="6CC2215F" w14:textId="67E6C630" w:rsidR="00511A5A" w:rsidRDefault="00511A5A" w:rsidP="00C06859">
      <w:pPr>
        <w:pStyle w:val="Heading2"/>
        <w:spacing w:before="0" w:after="0"/>
      </w:pPr>
      <w:r w:rsidRPr="00486B1A">
        <w:t xml:space="preserve">Section </w:t>
      </w:r>
      <w:r w:rsidR="00C76314">
        <w:t>F</w:t>
      </w:r>
      <w:r>
        <w:t>: Document Control Register</w:t>
      </w:r>
    </w:p>
    <w:p w14:paraId="7F5A8CD0" w14:textId="77777777" w:rsidR="00320155" w:rsidRPr="00320155" w:rsidRDefault="00320155" w:rsidP="00320155"/>
    <w:tbl>
      <w:tblPr>
        <w:tblW w:w="9067" w:type="dxa"/>
        <w:tblBorders>
          <w:top w:val="single" w:sz="4" w:space="0" w:color="153D63" w:themeColor="text2" w:themeTint="E6"/>
          <w:left w:val="single" w:sz="4" w:space="0" w:color="153D63" w:themeColor="text2" w:themeTint="E6"/>
          <w:bottom w:val="single" w:sz="4" w:space="0" w:color="153D63" w:themeColor="text2" w:themeTint="E6"/>
          <w:right w:val="single" w:sz="4" w:space="0" w:color="153D63" w:themeColor="text2" w:themeTint="E6"/>
          <w:insideH w:val="single" w:sz="4" w:space="0" w:color="153D63" w:themeColor="text2" w:themeTint="E6"/>
          <w:insideV w:val="single" w:sz="4" w:space="0" w:color="153D63" w:themeColor="text2" w:themeTint="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752"/>
      </w:tblGrid>
      <w:tr w:rsidR="00511A5A" w:rsidRPr="00486B1A" w14:paraId="2471FDCF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8725A1" w14:textId="20DC0AC7" w:rsidR="00511A5A" w:rsidRPr="00486B1A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Identifier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B95E3" w14:textId="76F8D9C6" w:rsidR="00511A5A" w:rsidRPr="00511A5A" w:rsidRDefault="00D25B15" w:rsidP="00C06859">
            <w:pPr>
              <w:spacing w:after="0"/>
            </w:pPr>
            <w:r>
              <w:t>VC-POL_</w:t>
            </w:r>
            <w:r w:rsidR="00534213">
              <w:t>WHS</w:t>
            </w:r>
            <w:r>
              <w:t>_00</w:t>
            </w:r>
            <w:r w:rsidR="00551650">
              <w:t>1</w:t>
            </w:r>
          </w:p>
        </w:tc>
      </w:tr>
      <w:tr w:rsidR="00511A5A" w:rsidRPr="00486B1A" w14:paraId="6F2FE41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2A798" w14:textId="7FCA6EB9" w:rsidR="00511A5A" w:rsidRPr="00486B1A" w:rsidRDefault="00E85834" w:rsidP="00C06859">
            <w:pPr>
              <w:spacing w:after="0"/>
            </w:pPr>
            <w:r>
              <w:rPr>
                <w:b/>
                <w:bCs/>
              </w:rPr>
              <w:t>Current Version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4514F" w14:textId="67A8B653" w:rsidR="00511A5A" w:rsidRPr="00511A5A" w:rsidRDefault="00D25B15" w:rsidP="00C06859">
            <w:pPr>
              <w:spacing w:after="0"/>
            </w:pPr>
            <w:r>
              <w:t>1.0</w:t>
            </w:r>
          </w:p>
        </w:tc>
      </w:tr>
      <w:tr w:rsidR="00E85834" w:rsidRPr="00486B1A" w14:paraId="7E5FB52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CE092" w14:textId="2F611581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Effective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F043A4" w14:textId="627BC62A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/07/2026</w:t>
            </w:r>
          </w:p>
        </w:tc>
      </w:tr>
      <w:tr w:rsidR="00E85834" w:rsidRPr="00486B1A" w14:paraId="3118AF8E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E68011" w14:textId="1B06A0A6" w:rsidR="00E85834" w:rsidRDefault="00E85834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BEB90" w14:textId="6F642993" w:rsidR="00E85834" w:rsidRPr="00511A5A" w:rsidRDefault="00D67CC1" w:rsidP="00C06859">
            <w:pPr>
              <w:spacing w:after="0"/>
            </w:pPr>
            <w:r>
              <w:t>1</w:t>
            </w:r>
            <w:r w:rsidR="00641638">
              <w:t>5</w:t>
            </w:r>
            <w:r>
              <w:t>/07/2027</w:t>
            </w:r>
          </w:p>
        </w:tc>
      </w:tr>
      <w:tr w:rsidR="00E85834" w:rsidRPr="00486B1A" w14:paraId="29B34A12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54F546" w14:textId="77CADF36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 Owner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22DC9" w14:textId="47966709" w:rsidR="00E85834" w:rsidRPr="00511A5A" w:rsidRDefault="00A43B79" w:rsidP="00C06859">
            <w:pPr>
              <w:spacing w:after="0"/>
            </w:pPr>
            <w:r>
              <w:t>Safety</w:t>
            </w:r>
            <w:r w:rsidR="00C45926">
              <w:t xml:space="preserve"> Coordinator</w:t>
            </w:r>
          </w:p>
        </w:tc>
      </w:tr>
      <w:tr w:rsidR="00E85834" w:rsidRPr="00486B1A" w14:paraId="371AA641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C48AD1" w14:textId="56A1F08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0E4FDC" w14:textId="628D84DF" w:rsidR="00E85834" w:rsidRPr="00511A5A" w:rsidRDefault="00D67CC1" w:rsidP="00C06859">
            <w:pPr>
              <w:spacing w:after="0"/>
            </w:pPr>
            <w:r>
              <w:t>Approved</w:t>
            </w:r>
          </w:p>
        </w:tc>
      </w:tr>
      <w:tr w:rsidR="00E85834" w:rsidRPr="00486B1A" w14:paraId="0480E4DD" w14:textId="77777777" w:rsidTr="00D67CC1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63360B" w14:textId="4A3D5E71" w:rsidR="00E85834" w:rsidRDefault="00D25B15" w:rsidP="00C068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Version History</w:t>
            </w:r>
          </w:p>
        </w:tc>
        <w:tc>
          <w:tcPr>
            <w:tcW w:w="67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960044" w14:textId="18C60391" w:rsidR="008049ED" w:rsidRPr="00511A5A" w:rsidRDefault="008049ED" w:rsidP="00C06859">
            <w:pPr>
              <w:spacing w:after="0"/>
            </w:pPr>
            <w:r>
              <w:t>1</w:t>
            </w:r>
            <w:r w:rsidR="00974CDC">
              <w:t>5</w:t>
            </w:r>
            <w:r>
              <w:t xml:space="preserve">/07/2026 </w:t>
            </w:r>
          </w:p>
          <w:p w14:paraId="1D1D34D7" w14:textId="4AE08CB3" w:rsidR="00E85834" w:rsidRPr="00511A5A" w:rsidRDefault="008049ED" w:rsidP="00C06859">
            <w:pPr>
              <w:spacing w:after="0"/>
            </w:pPr>
            <w:r w:rsidRPr="008049ED">
              <w:t xml:space="preserve">Approved and released for </w:t>
            </w:r>
            <w:r w:rsidR="00E74EE8">
              <w:t>organisation</w:t>
            </w:r>
            <w:r w:rsidRPr="008049ED">
              <w:t>-wide implementation</w:t>
            </w:r>
            <w:r>
              <w:t>.</w:t>
            </w:r>
          </w:p>
        </w:tc>
      </w:tr>
    </w:tbl>
    <w:p w14:paraId="249B16B0" w14:textId="77777777" w:rsidR="00511A5A" w:rsidRDefault="00511A5A" w:rsidP="00C06859">
      <w:pPr>
        <w:spacing w:after="0"/>
      </w:pPr>
    </w:p>
    <w:sectPr w:rsidR="00511A5A" w:rsidSect="00737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456B" w14:textId="77777777" w:rsidR="00B07DF7" w:rsidRDefault="00B07DF7" w:rsidP="00486B1A">
      <w:pPr>
        <w:spacing w:after="0" w:line="240" w:lineRule="auto"/>
      </w:pPr>
      <w:r>
        <w:separator/>
      </w:r>
    </w:p>
  </w:endnote>
  <w:endnote w:type="continuationSeparator" w:id="0">
    <w:p w14:paraId="2A7D3222" w14:textId="77777777" w:rsidR="00B07DF7" w:rsidRDefault="00B07DF7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A86" w14:textId="77777777" w:rsidR="00FB3F76" w:rsidRDefault="00FB3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0A0ED201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84728">
          <w:rPr>
            <w:rFonts w:ascii="Arial" w:hAnsi="Arial" w:cs="Arial"/>
            <w:sz w:val="16"/>
            <w:szCs w:val="16"/>
          </w:rPr>
          <w:t>Work Health and Safety Policy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320155">
      <w:rPr>
        <w:rFonts w:ascii="Arial" w:hAnsi="Arial" w:cs="Arial"/>
        <w:noProof/>
        <w:sz w:val="16"/>
        <w:szCs w:val="16"/>
      </w:rPr>
      <w:t>15/07/2026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BF9B45D" w:rsidR="00486B1A" w:rsidRPr="009F07AA" w:rsidRDefault="0000000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FB3F76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BCA1" w14:textId="77777777" w:rsidR="00FB3F76" w:rsidRDefault="00FB3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F0B7" w14:textId="77777777" w:rsidR="00B07DF7" w:rsidRDefault="00B07DF7" w:rsidP="00486B1A">
      <w:pPr>
        <w:spacing w:after="0" w:line="240" w:lineRule="auto"/>
      </w:pPr>
      <w:r>
        <w:separator/>
      </w:r>
    </w:p>
  </w:footnote>
  <w:footnote w:type="continuationSeparator" w:id="0">
    <w:p w14:paraId="7EEBB2FE" w14:textId="77777777" w:rsidR="00B07DF7" w:rsidRDefault="00B07DF7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CA5F" w14:textId="77777777" w:rsidR="00FB3F76" w:rsidRDefault="00FB3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CA81" w14:textId="77777777" w:rsidR="00FB3F76" w:rsidRDefault="00FB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0D2"/>
    <w:multiLevelType w:val="multilevel"/>
    <w:tmpl w:val="67A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75177"/>
    <w:multiLevelType w:val="hybridMultilevel"/>
    <w:tmpl w:val="52E46E9C"/>
    <w:lvl w:ilvl="0" w:tplc="90CAFE9C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2034"/>
    <w:multiLevelType w:val="multilevel"/>
    <w:tmpl w:val="5276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C1671"/>
    <w:multiLevelType w:val="multilevel"/>
    <w:tmpl w:val="551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01691"/>
    <w:multiLevelType w:val="multilevel"/>
    <w:tmpl w:val="B8A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3794"/>
    <w:multiLevelType w:val="multilevel"/>
    <w:tmpl w:val="C9D6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73839"/>
    <w:multiLevelType w:val="multilevel"/>
    <w:tmpl w:val="626A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238CA"/>
    <w:multiLevelType w:val="multilevel"/>
    <w:tmpl w:val="D79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30F7F"/>
    <w:multiLevelType w:val="hybridMultilevel"/>
    <w:tmpl w:val="9BDA6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A4014"/>
    <w:multiLevelType w:val="hybridMultilevel"/>
    <w:tmpl w:val="26CCCF88"/>
    <w:lvl w:ilvl="0" w:tplc="90CAFE9C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A25A7"/>
    <w:multiLevelType w:val="hybridMultilevel"/>
    <w:tmpl w:val="85B4B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D6C16"/>
    <w:multiLevelType w:val="hybridMultilevel"/>
    <w:tmpl w:val="995E4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10AE4"/>
    <w:multiLevelType w:val="hybridMultilevel"/>
    <w:tmpl w:val="1ADA8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25F2E"/>
    <w:multiLevelType w:val="hybridMultilevel"/>
    <w:tmpl w:val="E4D42C5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E3FFC"/>
    <w:multiLevelType w:val="hybridMultilevel"/>
    <w:tmpl w:val="C01A6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10431">
    <w:abstractNumId w:val="12"/>
  </w:num>
  <w:num w:numId="2" w16cid:durableId="1031759370">
    <w:abstractNumId w:val="8"/>
  </w:num>
  <w:num w:numId="3" w16cid:durableId="366879599">
    <w:abstractNumId w:val="4"/>
  </w:num>
  <w:num w:numId="4" w16cid:durableId="1750036602">
    <w:abstractNumId w:val="10"/>
  </w:num>
  <w:num w:numId="5" w16cid:durableId="1784152799">
    <w:abstractNumId w:val="1"/>
  </w:num>
  <w:num w:numId="6" w16cid:durableId="1349409155">
    <w:abstractNumId w:val="9"/>
  </w:num>
  <w:num w:numId="7" w16cid:durableId="1735467048">
    <w:abstractNumId w:val="11"/>
  </w:num>
  <w:num w:numId="8" w16cid:durableId="1022705684">
    <w:abstractNumId w:val="5"/>
  </w:num>
  <w:num w:numId="9" w16cid:durableId="413015238">
    <w:abstractNumId w:val="3"/>
  </w:num>
  <w:num w:numId="10" w16cid:durableId="870071569">
    <w:abstractNumId w:val="0"/>
  </w:num>
  <w:num w:numId="11" w16cid:durableId="1001155724">
    <w:abstractNumId w:val="7"/>
  </w:num>
  <w:num w:numId="12" w16cid:durableId="1070234811">
    <w:abstractNumId w:val="13"/>
  </w:num>
  <w:num w:numId="13" w16cid:durableId="1547713900">
    <w:abstractNumId w:val="2"/>
  </w:num>
  <w:num w:numId="14" w16cid:durableId="1500072013">
    <w:abstractNumId w:val="6"/>
  </w:num>
  <w:num w:numId="15" w16cid:durableId="1097015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33689"/>
    <w:rsid w:val="000623FF"/>
    <w:rsid w:val="00096DDC"/>
    <w:rsid w:val="000A2741"/>
    <w:rsid w:val="000C5C72"/>
    <w:rsid w:val="00106823"/>
    <w:rsid w:val="00115AD8"/>
    <w:rsid w:val="00117C19"/>
    <w:rsid w:val="00120195"/>
    <w:rsid w:val="00121723"/>
    <w:rsid w:val="00131329"/>
    <w:rsid w:val="00142DB8"/>
    <w:rsid w:val="00161A59"/>
    <w:rsid w:val="001653DA"/>
    <w:rsid w:val="00185216"/>
    <w:rsid w:val="00197061"/>
    <w:rsid w:val="001B53B4"/>
    <w:rsid w:val="001C3708"/>
    <w:rsid w:val="001C6347"/>
    <w:rsid w:val="001E41A0"/>
    <w:rsid w:val="0020018F"/>
    <w:rsid w:val="00221513"/>
    <w:rsid w:val="00251771"/>
    <w:rsid w:val="0025415F"/>
    <w:rsid w:val="00267043"/>
    <w:rsid w:val="0027164F"/>
    <w:rsid w:val="002A7BD4"/>
    <w:rsid w:val="002E44D6"/>
    <w:rsid w:val="002F3099"/>
    <w:rsid w:val="002F69B6"/>
    <w:rsid w:val="003035CA"/>
    <w:rsid w:val="00320155"/>
    <w:rsid w:val="003271CD"/>
    <w:rsid w:val="00344C01"/>
    <w:rsid w:val="00350C2D"/>
    <w:rsid w:val="00361588"/>
    <w:rsid w:val="00361DDD"/>
    <w:rsid w:val="00382C70"/>
    <w:rsid w:val="003845F2"/>
    <w:rsid w:val="00393E9C"/>
    <w:rsid w:val="003B3625"/>
    <w:rsid w:val="003B7D2B"/>
    <w:rsid w:val="003E2684"/>
    <w:rsid w:val="003F26F9"/>
    <w:rsid w:val="003F2723"/>
    <w:rsid w:val="0040400C"/>
    <w:rsid w:val="00425400"/>
    <w:rsid w:val="00446DF8"/>
    <w:rsid w:val="00486B1A"/>
    <w:rsid w:val="004C302A"/>
    <w:rsid w:val="004E357E"/>
    <w:rsid w:val="00511A5A"/>
    <w:rsid w:val="00523612"/>
    <w:rsid w:val="00534213"/>
    <w:rsid w:val="00550A1C"/>
    <w:rsid w:val="00551650"/>
    <w:rsid w:val="005B4DBD"/>
    <w:rsid w:val="005B7CDB"/>
    <w:rsid w:val="005D1168"/>
    <w:rsid w:val="005D5456"/>
    <w:rsid w:val="006233FD"/>
    <w:rsid w:val="00641638"/>
    <w:rsid w:val="00642AB6"/>
    <w:rsid w:val="0066026A"/>
    <w:rsid w:val="006710EE"/>
    <w:rsid w:val="00687FF0"/>
    <w:rsid w:val="00697612"/>
    <w:rsid w:val="006F43E1"/>
    <w:rsid w:val="00706B47"/>
    <w:rsid w:val="00737689"/>
    <w:rsid w:val="00753994"/>
    <w:rsid w:val="00770ADA"/>
    <w:rsid w:val="00784728"/>
    <w:rsid w:val="00785EF7"/>
    <w:rsid w:val="007B7C12"/>
    <w:rsid w:val="007E3D4F"/>
    <w:rsid w:val="007F05A3"/>
    <w:rsid w:val="0080098A"/>
    <w:rsid w:val="008049ED"/>
    <w:rsid w:val="0082281D"/>
    <w:rsid w:val="00826789"/>
    <w:rsid w:val="00834A3F"/>
    <w:rsid w:val="00855D80"/>
    <w:rsid w:val="00872CCB"/>
    <w:rsid w:val="008A0E30"/>
    <w:rsid w:val="008A27D2"/>
    <w:rsid w:val="008E2E00"/>
    <w:rsid w:val="008F0587"/>
    <w:rsid w:val="00937346"/>
    <w:rsid w:val="009410B3"/>
    <w:rsid w:val="00974CDC"/>
    <w:rsid w:val="00975AA9"/>
    <w:rsid w:val="009B764F"/>
    <w:rsid w:val="009E0037"/>
    <w:rsid w:val="009F07AA"/>
    <w:rsid w:val="009F0E7F"/>
    <w:rsid w:val="009F4F89"/>
    <w:rsid w:val="00A1402F"/>
    <w:rsid w:val="00A165D6"/>
    <w:rsid w:val="00A2289C"/>
    <w:rsid w:val="00A32560"/>
    <w:rsid w:val="00A3685F"/>
    <w:rsid w:val="00A43B79"/>
    <w:rsid w:val="00A57E04"/>
    <w:rsid w:val="00A950F8"/>
    <w:rsid w:val="00AA450C"/>
    <w:rsid w:val="00AC5B34"/>
    <w:rsid w:val="00AF64CD"/>
    <w:rsid w:val="00B07DF7"/>
    <w:rsid w:val="00B3151E"/>
    <w:rsid w:val="00B35F53"/>
    <w:rsid w:val="00B3628D"/>
    <w:rsid w:val="00B3667B"/>
    <w:rsid w:val="00B60463"/>
    <w:rsid w:val="00B63AD7"/>
    <w:rsid w:val="00B8284E"/>
    <w:rsid w:val="00BB50B6"/>
    <w:rsid w:val="00BE3C8E"/>
    <w:rsid w:val="00C06859"/>
    <w:rsid w:val="00C136EB"/>
    <w:rsid w:val="00C13D5B"/>
    <w:rsid w:val="00C1527E"/>
    <w:rsid w:val="00C20BDA"/>
    <w:rsid w:val="00C2341B"/>
    <w:rsid w:val="00C266C4"/>
    <w:rsid w:val="00C278D5"/>
    <w:rsid w:val="00C40F0C"/>
    <w:rsid w:val="00C45926"/>
    <w:rsid w:val="00C70351"/>
    <w:rsid w:val="00C722C2"/>
    <w:rsid w:val="00C76314"/>
    <w:rsid w:val="00C77C0F"/>
    <w:rsid w:val="00C82326"/>
    <w:rsid w:val="00C83553"/>
    <w:rsid w:val="00CD5F48"/>
    <w:rsid w:val="00CF3773"/>
    <w:rsid w:val="00D0277C"/>
    <w:rsid w:val="00D0342F"/>
    <w:rsid w:val="00D05A5C"/>
    <w:rsid w:val="00D251F6"/>
    <w:rsid w:val="00D25B15"/>
    <w:rsid w:val="00D37AB3"/>
    <w:rsid w:val="00D50E11"/>
    <w:rsid w:val="00D53B39"/>
    <w:rsid w:val="00D63AE8"/>
    <w:rsid w:val="00D6462E"/>
    <w:rsid w:val="00D67CC1"/>
    <w:rsid w:val="00DD0BF8"/>
    <w:rsid w:val="00DD1823"/>
    <w:rsid w:val="00DE1B70"/>
    <w:rsid w:val="00DE4D47"/>
    <w:rsid w:val="00DF66E3"/>
    <w:rsid w:val="00E210CA"/>
    <w:rsid w:val="00E44BB0"/>
    <w:rsid w:val="00E60AF0"/>
    <w:rsid w:val="00E64AF6"/>
    <w:rsid w:val="00E74EE8"/>
    <w:rsid w:val="00E77496"/>
    <w:rsid w:val="00E80173"/>
    <w:rsid w:val="00E82058"/>
    <w:rsid w:val="00E85834"/>
    <w:rsid w:val="00E86A6B"/>
    <w:rsid w:val="00E917B9"/>
    <w:rsid w:val="00E960A7"/>
    <w:rsid w:val="00EE4410"/>
    <w:rsid w:val="00EF5C7D"/>
    <w:rsid w:val="00F13D90"/>
    <w:rsid w:val="00F23749"/>
    <w:rsid w:val="00F26432"/>
    <w:rsid w:val="00F30625"/>
    <w:rsid w:val="00F45DC7"/>
    <w:rsid w:val="00F776DB"/>
    <w:rsid w:val="00FB3F76"/>
    <w:rsid w:val="00FD3298"/>
    <w:rsid w:val="00FE52BC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DB"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35F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772E0"/>
    <w:rsid w:val="00382C70"/>
    <w:rsid w:val="003F3E0B"/>
    <w:rsid w:val="00446DF8"/>
    <w:rsid w:val="0055485D"/>
    <w:rsid w:val="00757F1A"/>
    <w:rsid w:val="007B7C12"/>
    <w:rsid w:val="009438A3"/>
    <w:rsid w:val="00AF766F"/>
    <w:rsid w:val="00B702B0"/>
    <w:rsid w:val="00B92171"/>
    <w:rsid w:val="00E1130D"/>
    <w:rsid w:val="00E73BF5"/>
    <w:rsid w:val="00F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 Policy</dc:title>
  <dc:subject/>
  <dc:creator>Karin Florie</dc:creator>
  <cp:keywords/>
  <dc:description/>
  <cp:lastModifiedBy>Karin Florie</cp:lastModifiedBy>
  <cp:revision>21</cp:revision>
  <dcterms:created xsi:type="dcterms:W3CDTF">2026-07-15T01:06:00Z</dcterms:created>
  <dcterms:modified xsi:type="dcterms:W3CDTF">2026-07-15T02:49:00Z</dcterms:modified>
</cp:coreProperties>
</file>