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9FB3" w14:textId="41E787EB" w:rsidR="00486B1A" w:rsidRPr="00486B1A" w:rsidRDefault="00606C26" w:rsidP="00C06859">
      <w:pPr>
        <w:spacing w:after="0"/>
      </w:pPr>
      <w:sdt>
        <w:sdtPr>
          <w:rPr>
            <w:rStyle w:val="Heading1Char"/>
            <w:sz w:val="48"/>
            <w:szCs w:val="48"/>
          </w:rPr>
          <w:alias w:val="Title"/>
          <w:tag w:val=""/>
          <w:id w:val="1270197154"/>
          <w:placeholder>
            <w:docPart w:val="7CF0D4D55CC344DCA2686DF1180E7B2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color w:val="auto"/>
            <w:sz w:val="22"/>
            <w:szCs w:val="22"/>
          </w:rPr>
        </w:sdtEndPr>
        <w:sdtContent>
          <w:r w:rsidR="00B60463">
            <w:rPr>
              <w:rStyle w:val="Heading1Char"/>
              <w:sz w:val="48"/>
              <w:szCs w:val="48"/>
            </w:rPr>
            <w:t xml:space="preserve">Safety in Design </w:t>
          </w:r>
          <w:r w:rsidR="00D6462E">
            <w:rPr>
              <w:rStyle w:val="Heading1Char"/>
              <w:sz w:val="48"/>
              <w:szCs w:val="48"/>
            </w:rPr>
            <w:t>Policy</w:t>
          </w:r>
        </w:sdtContent>
      </w:sdt>
      <w:r>
        <w:pict w14:anchorId="3E328EBF">
          <v:rect id="_x0000_i1025" style="width:0;height:1.5pt" o:hralign="center" o:hrstd="t" o:hr="t" fillcolor="#a0a0a0" stroked="f"/>
        </w:pict>
      </w:r>
    </w:p>
    <w:p w14:paraId="5AF66007" w14:textId="5D5EEDEA" w:rsidR="00486B1A" w:rsidRDefault="00486B1A" w:rsidP="00C06859">
      <w:pPr>
        <w:pStyle w:val="Heading2"/>
        <w:spacing w:before="0" w:after="0"/>
      </w:pPr>
      <w:r w:rsidRPr="00486B1A">
        <w:t xml:space="preserve">Section A: </w:t>
      </w:r>
      <w:r w:rsidR="00E210CA">
        <w:t>Purpose</w:t>
      </w:r>
    </w:p>
    <w:p w14:paraId="4BBD5906" w14:textId="77777777" w:rsidR="00CD0233" w:rsidRPr="00CD0233" w:rsidRDefault="00CD0233" w:rsidP="00CD023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7412"/>
      </w:tblGrid>
      <w:tr w:rsidR="00CF3773" w:rsidRPr="00486B1A" w14:paraId="30E938D1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0809CF" w14:textId="218F0DC5" w:rsidR="00CF3773" w:rsidRPr="00486B1A" w:rsidRDefault="00CF3773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6D3DD1" w14:textId="6C8FBA13" w:rsidR="00CF3773" w:rsidRPr="00511A5A" w:rsidRDefault="00EE4410" w:rsidP="00C06859">
            <w:pPr>
              <w:spacing w:after="0"/>
            </w:pPr>
            <w:r w:rsidRPr="00A1402F">
              <w:t xml:space="preserve">This policy defines </w:t>
            </w:r>
            <w:r w:rsidRPr="00EE4410">
              <w:t>the mandatory procedures for integrating Safety in Design (</w:t>
            </w:r>
            <w:proofErr w:type="spellStart"/>
            <w:r w:rsidRPr="00EE4410">
              <w:t>SiD</w:t>
            </w:r>
            <w:proofErr w:type="spellEnd"/>
            <w:r w:rsidRPr="00EE4410">
              <w:t>) across all civil engineering and infrastructure design projects undertaken by Velocity Civil.</w:t>
            </w:r>
          </w:p>
        </w:tc>
      </w:tr>
      <w:tr w:rsidR="00486B1A" w:rsidRPr="00486B1A" w14:paraId="3ED0F55E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86AAF" w14:textId="3E3849AC" w:rsidR="00486B1A" w:rsidRPr="00486B1A" w:rsidRDefault="00CF3773" w:rsidP="00C06859">
            <w:pPr>
              <w:spacing w:after="0"/>
            </w:pPr>
            <w:r>
              <w:rPr>
                <w:b/>
                <w:bCs/>
              </w:rPr>
              <w:t>Purpose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1A7D9" w14:textId="07A50664" w:rsidR="00486B1A" w:rsidRPr="00511A5A" w:rsidRDefault="00A1402F" w:rsidP="00C06859">
            <w:pPr>
              <w:spacing w:after="0"/>
            </w:pPr>
            <w:r w:rsidRPr="00A1402F">
              <w:t xml:space="preserve">The </w:t>
            </w:r>
            <w:r w:rsidR="00EE4410">
              <w:t>purpose</w:t>
            </w:r>
            <w:r w:rsidRPr="00A1402F">
              <w:t xml:space="preserve"> is to eliminate, or where not reasonably practicable, minimi</w:t>
            </w:r>
            <w:r w:rsidR="00EE4410">
              <w:t>s</w:t>
            </w:r>
            <w:r w:rsidRPr="00A1402F">
              <w:t>e foreseeable health and safety risks to personnel who construct, maintain, use or eventually demolish the assets we design. This policy applies to all design phases</w:t>
            </w:r>
            <w:r w:rsidR="00EE4410">
              <w:t xml:space="preserve"> </w:t>
            </w:r>
            <w:r w:rsidRPr="00A1402F">
              <w:t>from concept and tender through to final IFC (Issued for Construction) certification.</w:t>
            </w:r>
          </w:p>
        </w:tc>
      </w:tr>
      <w:tr w:rsidR="00A1402F" w:rsidRPr="00486B1A" w14:paraId="4DE20B5F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C629DB" w14:textId="4741FA08" w:rsidR="00A1402F" w:rsidRDefault="00A1402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Target Audience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409006" w14:textId="0BC6FD59" w:rsidR="00A1402F" w:rsidRPr="00A1402F" w:rsidRDefault="00131329" w:rsidP="00A1402F">
            <w:pPr>
              <w:spacing w:after="0"/>
            </w:pPr>
            <w:r w:rsidRPr="00131329">
              <w:t>All Design Engineers, Project Managers, Draftspersons, and Sub-consultants</w:t>
            </w:r>
          </w:p>
        </w:tc>
      </w:tr>
    </w:tbl>
    <w:p w14:paraId="7B4DEA3E" w14:textId="77777777" w:rsidR="00CF3773" w:rsidRDefault="00CF3773" w:rsidP="00C06859">
      <w:pPr>
        <w:pStyle w:val="Heading2"/>
        <w:spacing w:before="0" w:after="0"/>
      </w:pPr>
    </w:p>
    <w:p w14:paraId="072E736E" w14:textId="6E237DBF" w:rsidR="00486B1A" w:rsidRDefault="00486B1A" w:rsidP="00C06859">
      <w:pPr>
        <w:pStyle w:val="Heading2"/>
        <w:spacing w:before="0" w:after="0"/>
      </w:pPr>
      <w:r w:rsidRPr="00486B1A">
        <w:t xml:space="preserve">Section B: </w:t>
      </w:r>
      <w:r w:rsidR="00131329">
        <w:t>Regulatory Alignment</w:t>
      </w:r>
    </w:p>
    <w:p w14:paraId="253F37B8" w14:textId="77777777" w:rsidR="00CD0233" w:rsidRPr="00CD0233" w:rsidRDefault="00CD0233" w:rsidP="00CD0233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393E9C" w:rsidRPr="00486B1A" w14:paraId="4F5A2275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AD733" w14:textId="5625A244" w:rsidR="00393E9C" w:rsidRPr="00486B1A" w:rsidRDefault="00131329" w:rsidP="00C06859">
            <w:pPr>
              <w:spacing w:after="0"/>
              <w:rPr>
                <w:b/>
                <w:bCs/>
              </w:rPr>
            </w:pPr>
            <w:r w:rsidRPr="00131329">
              <w:rPr>
                <w:b/>
                <w:bCs/>
              </w:rPr>
              <w:t>Velocity Civil operates strictly under the following statutory frameworks:</w:t>
            </w:r>
          </w:p>
        </w:tc>
      </w:tr>
      <w:tr w:rsidR="00CF3773" w:rsidRPr="00486B1A" w14:paraId="4B96550B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E8B4D9" w14:textId="7218A5BE" w:rsidR="00CF3773" w:rsidRPr="00B60463" w:rsidRDefault="00E77496" w:rsidP="00C06859">
            <w:pPr>
              <w:spacing w:after="0"/>
              <w:rPr>
                <w:b/>
                <w:bCs/>
              </w:rPr>
            </w:pPr>
            <w:r w:rsidRPr="00B60463">
              <w:rPr>
                <w:b/>
                <w:bCs/>
              </w:rPr>
              <w:t>Harmonised Work Health and Safety Frameworks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4959FF" w14:textId="2CCEB8BA" w:rsidR="00DF66E3" w:rsidRPr="00EE4410" w:rsidRDefault="00DF66E3" w:rsidP="00EE441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E4410">
              <w:t>Commonwealth, NSW, QLD, ACT, SA, NT, and TAS: Section 22 of the Work Health and Safety (WHS) Act in each respective jurisdiction dictates that any Person Conducting a Business or Undertaking (PCBU) that designs a structure must ensure, so far as is reasonably practicable, that it is designed without risks to health and safety.</w:t>
            </w:r>
          </w:p>
          <w:p w14:paraId="200E55F8" w14:textId="70A91798" w:rsidR="00DF66E3" w:rsidRPr="00EE4410" w:rsidRDefault="00DF66E3" w:rsidP="00EE441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E4410">
              <w:t>Victoria: Actively aligns with Section 28 of the Occupational Health and Safety (OHS) Act 2004 (VIC), fulfilling the specific legal duties governing the safe design of buildings and structures.</w:t>
            </w:r>
          </w:p>
          <w:p w14:paraId="2D6EDA93" w14:textId="5664BC3A" w:rsidR="00CF3773" w:rsidRPr="00B60463" w:rsidRDefault="00DF66E3" w:rsidP="00C0685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E4410">
              <w:t>Western Australia: Governed by Section 22 of the Work Health and Safety Act 2020 (WA), incorporating specific Western Australian mining and petroleum design interfaces where applicable.</w:t>
            </w:r>
          </w:p>
        </w:tc>
      </w:tr>
      <w:tr w:rsidR="00CF3773" w:rsidRPr="00486B1A" w14:paraId="2C073C51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4959A4" w14:textId="06CB99A2" w:rsidR="00CF3773" w:rsidRPr="00B60463" w:rsidRDefault="00DF66E3" w:rsidP="00C06859">
            <w:pPr>
              <w:spacing w:after="0"/>
              <w:rPr>
                <w:b/>
                <w:bCs/>
              </w:rPr>
            </w:pPr>
            <w:r w:rsidRPr="00B60463">
              <w:rPr>
                <w:b/>
                <w:bCs/>
              </w:rPr>
              <w:t>National Construction &amp; Structural Codes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52DB8" w14:textId="163B92AE" w:rsidR="00B60463" w:rsidRPr="00B60463" w:rsidRDefault="00B60463" w:rsidP="00E917B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>The National Construction Code (NCC):</w:t>
            </w:r>
            <w:r w:rsidRPr="00B60463">
              <w:t xml:space="preserve"> Governing structural stability, fire safety, and dampness/weatherproofing criteria nationally.</w:t>
            </w:r>
          </w:p>
          <w:p w14:paraId="4637A4F0" w14:textId="0F29354F" w:rsidR="00B60463" w:rsidRPr="00B60463" w:rsidRDefault="00B60463" w:rsidP="00E917B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>Relevant Australian Standards (AS/NZS):</w:t>
            </w:r>
            <w:r w:rsidRPr="00B60463">
              <w:t xml:space="preserve"> Including but not limited to AS 1170 (Structural</w:t>
            </w:r>
            <w:r w:rsidR="00E917B9">
              <w:t xml:space="preserve"> D</w:t>
            </w:r>
            <w:r w:rsidRPr="00B60463">
              <w:t xml:space="preserve">esign </w:t>
            </w:r>
            <w:r w:rsidR="00E917B9">
              <w:t>A</w:t>
            </w:r>
            <w:r w:rsidRPr="00B60463">
              <w:t xml:space="preserve">ctions), AS 3600 (Concrete </w:t>
            </w:r>
            <w:r w:rsidR="00E917B9">
              <w:lastRenderedPageBreak/>
              <w:t>S</w:t>
            </w:r>
            <w:r w:rsidRPr="00B60463">
              <w:t xml:space="preserve">tructures), AS 4100 (Steel </w:t>
            </w:r>
            <w:r w:rsidR="00E917B9">
              <w:t>S</w:t>
            </w:r>
            <w:r w:rsidRPr="00B60463">
              <w:t xml:space="preserve">tructures) and AS 5100 (Bridge </w:t>
            </w:r>
            <w:r w:rsidR="00E917B9">
              <w:t>D</w:t>
            </w:r>
            <w:r w:rsidRPr="00B60463">
              <w:t>esign).</w:t>
            </w:r>
          </w:p>
          <w:p w14:paraId="5600CFD4" w14:textId="2095D125" w:rsidR="00CF3773" w:rsidRPr="00B60463" w:rsidRDefault="00CF3773" w:rsidP="00C06859">
            <w:pPr>
              <w:spacing w:after="0"/>
            </w:pPr>
          </w:p>
        </w:tc>
      </w:tr>
      <w:tr w:rsidR="00CF3773" w:rsidRPr="00486B1A" w14:paraId="04F65059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A1B3FD" w14:textId="194A8A89" w:rsidR="00CF3773" w:rsidRPr="00B60463" w:rsidRDefault="00B60463" w:rsidP="00C06859">
            <w:pPr>
              <w:spacing w:after="0"/>
              <w:rPr>
                <w:b/>
                <w:bCs/>
              </w:rPr>
            </w:pPr>
            <w:r w:rsidRPr="00B60463">
              <w:rPr>
                <w:b/>
                <w:bCs/>
              </w:rPr>
              <w:lastRenderedPageBreak/>
              <w:t>State-Based Professional Engineering Registration Schemes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6E6AE" w14:textId="77777777" w:rsidR="00B60463" w:rsidRPr="00E917B9" w:rsidRDefault="00B60463" w:rsidP="00B60463">
            <w:pPr>
              <w:spacing w:after="0"/>
            </w:pPr>
            <w:r w:rsidRPr="00E917B9">
              <w:t>Velocity Civil design deliverables must be signed off and declared only by engineers holding valid, active registrations required by the state where the physical infrastructure will sit:</w:t>
            </w:r>
          </w:p>
          <w:p w14:paraId="7540372A" w14:textId="77777777" w:rsidR="00E917B9" w:rsidRPr="00E917B9" w:rsidRDefault="00E917B9" w:rsidP="00B60463">
            <w:pPr>
              <w:spacing w:after="0"/>
            </w:pPr>
          </w:p>
          <w:p w14:paraId="027C6001" w14:textId="77777777" w:rsidR="00B60463" w:rsidRPr="00E917B9" w:rsidRDefault="00B60463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 xml:space="preserve">Queensland: Registered Professional Engineer of Queensland (RPEQ) under the </w:t>
            </w:r>
            <w:r w:rsidRPr="009F4F89">
              <w:t>Professional Engineers Act 2002</w:t>
            </w:r>
            <w:r w:rsidRPr="00E917B9">
              <w:t>.</w:t>
            </w:r>
          </w:p>
          <w:p w14:paraId="787BC214" w14:textId="77777777" w:rsidR="00B60463" w:rsidRPr="00E917B9" w:rsidRDefault="00B60463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 xml:space="preserve">New South Wales: Registered Professional Engineer (RPE) under the </w:t>
            </w:r>
            <w:r w:rsidRPr="009F4F89">
              <w:t>Design and Building Practitioners Act 2020</w:t>
            </w:r>
            <w:r w:rsidRPr="00E917B9">
              <w:t xml:space="preserve"> and the </w:t>
            </w:r>
            <w:r w:rsidRPr="009F4F89">
              <w:t>Professional Engineers Registration Act 2020</w:t>
            </w:r>
            <w:r w:rsidRPr="00E917B9">
              <w:t>.</w:t>
            </w:r>
          </w:p>
          <w:p w14:paraId="3ED1708E" w14:textId="77777777" w:rsidR="00B60463" w:rsidRPr="00E917B9" w:rsidRDefault="00B60463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 xml:space="preserve">Victoria: Professional Engineer registration under the </w:t>
            </w:r>
            <w:r w:rsidRPr="009F4F89">
              <w:t>Professional Engineers Registration Act 2019</w:t>
            </w:r>
            <w:r w:rsidRPr="00E917B9">
              <w:t>.</w:t>
            </w:r>
          </w:p>
          <w:p w14:paraId="03D7C8BD" w14:textId="454DEE4E" w:rsidR="00B60463" w:rsidRPr="00E917B9" w:rsidRDefault="00B60463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>Western Australia &amp; Australian Capital Territory: Compliance with state-specific professional registration schemes under locali</w:t>
            </w:r>
            <w:r w:rsidR="00E917B9">
              <w:t>s</w:t>
            </w:r>
            <w:r w:rsidRPr="00E917B9">
              <w:t xml:space="preserve">ed </w:t>
            </w:r>
            <w:r w:rsidRPr="009F4F89">
              <w:t>Professional Engineers Registration</w:t>
            </w:r>
            <w:r w:rsidRPr="00E917B9">
              <w:t xml:space="preserve"> frameworks.</w:t>
            </w:r>
          </w:p>
          <w:p w14:paraId="083CA346" w14:textId="77777777" w:rsidR="00B60463" w:rsidRPr="00E917B9" w:rsidRDefault="00B60463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917B9">
              <w:t>National Default: All verifying engineers are expected to maintain registration on the National Engineering Register (NER) managed by Engineers Australia to validate core competency across borders.</w:t>
            </w:r>
          </w:p>
          <w:p w14:paraId="5282AC1A" w14:textId="6241B984" w:rsidR="00CF3773" w:rsidRPr="00E917B9" w:rsidRDefault="00CF3773" w:rsidP="00C06859">
            <w:pPr>
              <w:spacing w:after="0"/>
            </w:pPr>
          </w:p>
        </w:tc>
      </w:tr>
    </w:tbl>
    <w:p w14:paraId="6375CF61" w14:textId="77777777" w:rsidR="00D50E11" w:rsidRPr="00D50E11" w:rsidRDefault="00D50E11" w:rsidP="00C06859">
      <w:pPr>
        <w:pStyle w:val="Heading3"/>
        <w:spacing w:before="0" w:after="0"/>
        <w:rPr>
          <w:sz w:val="24"/>
          <w:szCs w:val="24"/>
        </w:rPr>
      </w:pPr>
    </w:p>
    <w:p w14:paraId="56D891BE" w14:textId="14C60EDB" w:rsidR="00486B1A" w:rsidRDefault="00486B1A" w:rsidP="00C06859">
      <w:pPr>
        <w:pStyle w:val="Heading3"/>
        <w:spacing w:before="0" w:after="0"/>
      </w:pPr>
      <w:r w:rsidRPr="00486B1A">
        <w:t xml:space="preserve">Section C: </w:t>
      </w:r>
      <w:r w:rsidR="00AC5B34">
        <w:t xml:space="preserve">Core </w:t>
      </w:r>
      <w:proofErr w:type="spellStart"/>
      <w:r w:rsidR="00AC5B34">
        <w:t>SiD</w:t>
      </w:r>
      <w:proofErr w:type="spellEnd"/>
      <w:r w:rsidR="00AC5B34">
        <w:t xml:space="preserve"> Process</w:t>
      </w:r>
    </w:p>
    <w:p w14:paraId="6AAE66AB" w14:textId="77777777" w:rsidR="00CD0233" w:rsidRPr="00CD0233" w:rsidRDefault="00CD0233" w:rsidP="00CD0233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E64AF6" w:rsidRPr="00486B1A" w14:paraId="44212E6D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03655" w14:textId="61998376" w:rsidR="00E64AF6" w:rsidRPr="00486B1A" w:rsidRDefault="00197061" w:rsidP="00C06859">
            <w:pPr>
              <w:spacing w:after="0"/>
              <w:rPr>
                <w:b/>
                <w:bCs/>
              </w:rPr>
            </w:pPr>
            <w:r w:rsidRPr="00197061">
              <w:rPr>
                <w:b/>
                <w:bCs/>
              </w:rPr>
              <w:t xml:space="preserve">Velocity Civil mandates a staged Construction Hazard Assessment Implication Review </w:t>
            </w:r>
            <w:r w:rsidR="009F4F89">
              <w:rPr>
                <w:b/>
                <w:bCs/>
              </w:rPr>
              <w:t xml:space="preserve">using the </w:t>
            </w:r>
            <w:r w:rsidRPr="00197061">
              <w:rPr>
                <w:b/>
                <w:bCs/>
              </w:rPr>
              <w:t>(CHAIR) methodology. The level of review scales dynamically based on project complexity.</w:t>
            </w:r>
          </w:p>
        </w:tc>
      </w:tr>
      <w:tr w:rsidR="00E64AF6" w:rsidRPr="00486B1A" w14:paraId="1AA0B22A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948D76" w14:textId="77777777" w:rsidR="00E64AF6" w:rsidRDefault="00197061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CHAIR 1</w:t>
            </w:r>
          </w:p>
          <w:p w14:paraId="47FED361" w14:textId="00D40A23" w:rsidR="00197061" w:rsidRPr="00F45DC7" w:rsidRDefault="00197061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Conceptual Phase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C8154" w14:textId="405DA359" w:rsidR="00A3685F" w:rsidRPr="00A3685F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44BB0">
              <w:t>Focus:</w:t>
            </w:r>
            <w:r w:rsidRPr="00A3685F">
              <w:t xml:space="preserve"> Macro-level design options, site selection and interfaces with existing major utilities or environmental constraints.</w:t>
            </w:r>
          </w:p>
          <w:p w14:paraId="558A4423" w14:textId="361AEA40" w:rsidR="00A3685F" w:rsidRPr="00A3685F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44BB0">
              <w:t>Trigger:</w:t>
            </w:r>
            <w:r w:rsidRPr="00A3685F">
              <w:t xml:space="preserve"> Must be completed prior to locking in the final geometric or structural layout.</w:t>
            </w:r>
          </w:p>
          <w:p w14:paraId="16000A88" w14:textId="6A2970CC" w:rsidR="00E64AF6" w:rsidRPr="00486B1A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E44BB0">
              <w:t>Objective:</w:t>
            </w:r>
            <w:r w:rsidRPr="00A3685F">
              <w:t xml:space="preserve"> Eliminate major high-level hazards</w:t>
            </w:r>
            <w:r w:rsidR="00E44BB0">
              <w:t>.</w:t>
            </w:r>
          </w:p>
        </w:tc>
      </w:tr>
      <w:tr w:rsidR="00E64AF6" w:rsidRPr="00486B1A" w14:paraId="6EAFA13D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4CCBD8" w14:textId="77777777" w:rsidR="00E64AF6" w:rsidRDefault="00197061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CHAIR 2</w:t>
            </w:r>
          </w:p>
          <w:p w14:paraId="21DFB5EC" w14:textId="2A56F790" w:rsidR="00197061" w:rsidRPr="00F45DC7" w:rsidRDefault="00197061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Detailed Design Phase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88706" w14:textId="1ED131B8" w:rsidR="00A3685F" w:rsidRPr="00A3685F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Focus:</w:t>
            </w:r>
            <w:r w:rsidRPr="00A3685F">
              <w:t xml:space="preserve"> Construction methodology, constructability limitations and heavy lifting risks.</w:t>
            </w:r>
          </w:p>
          <w:p w14:paraId="63B0D668" w14:textId="15E01315" w:rsidR="00A3685F" w:rsidRPr="00A3685F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Trigger:</w:t>
            </w:r>
            <w:r w:rsidRPr="00A3685F">
              <w:t xml:space="preserve"> Conducted at the </w:t>
            </w:r>
            <w:r w:rsidRPr="009F4F89">
              <w:t>50% to 70% design milestone</w:t>
            </w:r>
            <w:r w:rsidRPr="00A3685F">
              <w:t>.</w:t>
            </w:r>
          </w:p>
          <w:p w14:paraId="1E52EF36" w14:textId="21AC6327" w:rsidR="00E64AF6" w:rsidRPr="00486B1A" w:rsidRDefault="00A3685F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Objective:</w:t>
            </w:r>
            <w:r w:rsidRPr="00A3685F">
              <w:t xml:space="preserve"> Identify specific construction hazards. </w:t>
            </w:r>
          </w:p>
        </w:tc>
      </w:tr>
      <w:tr w:rsidR="00697612" w:rsidRPr="00486B1A" w14:paraId="0F114F9D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551914" w14:textId="77777777" w:rsidR="00697612" w:rsidRDefault="00A3685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CHAIR 3</w:t>
            </w:r>
          </w:p>
          <w:p w14:paraId="66C61347" w14:textId="263CF143" w:rsidR="00A3685F" w:rsidRPr="00F45DC7" w:rsidRDefault="00A3685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Maintenance and </w:t>
            </w:r>
            <w:r w:rsidR="009F4F89">
              <w:rPr>
                <w:b/>
                <w:bCs/>
              </w:rPr>
              <w:t>Operations</w:t>
            </w:r>
            <w:r>
              <w:rPr>
                <w:b/>
                <w:bCs/>
              </w:rPr>
              <w:t xml:space="preserve"> Phase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CCD15" w14:textId="0D8701CD" w:rsidR="00185216" w:rsidRPr="00185216" w:rsidRDefault="00185216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Focus:</w:t>
            </w:r>
            <w:r w:rsidRPr="00185216">
              <w:t xml:space="preserve"> Life-cycle access, asset maintenance and eventual decommissioning.</w:t>
            </w:r>
          </w:p>
          <w:p w14:paraId="5FB44A4F" w14:textId="115B9C37" w:rsidR="00185216" w:rsidRPr="00185216" w:rsidRDefault="00185216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Trigger:</w:t>
            </w:r>
            <w:r w:rsidRPr="00185216">
              <w:t xml:space="preserve"> Conducted at the </w:t>
            </w:r>
            <w:r w:rsidRPr="009F4F89">
              <w:t>90% design review</w:t>
            </w:r>
            <w:r w:rsidRPr="00185216">
              <w:t xml:space="preserve"> before IFC sign-off.</w:t>
            </w:r>
          </w:p>
          <w:p w14:paraId="57DE87EC" w14:textId="30A059C2" w:rsidR="00697612" w:rsidRPr="006233FD" w:rsidRDefault="00185216" w:rsidP="00CD0233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9F4F89">
              <w:t>Objective:</w:t>
            </w:r>
            <w:r w:rsidRPr="00185216">
              <w:t xml:space="preserve"> Ensure safe access for asset operators.</w:t>
            </w:r>
          </w:p>
        </w:tc>
      </w:tr>
    </w:tbl>
    <w:p w14:paraId="1906D1ED" w14:textId="77777777" w:rsidR="00E64AF6" w:rsidRDefault="00E64AF6" w:rsidP="00C06859">
      <w:pPr>
        <w:spacing w:after="0"/>
      </w:pPr>
    </w:p>
    <w:p w14:paraId="7A851697" w14:textId="30557A0B" w:rsidR="005B7CDB" w:rsidRDefault="005B7CDB" w:rsidP="00C06859">
      <w:pPr>
        <w:pStyle w:val="Heading3"/>
        <w:spacing w:before="0" w:after="0"/>
      </w:pPr>
      <w:r w:rsidRPr="00486B1A">
        <w:t xml:space="preserve">Section </w:t>
      </w:r>
      <w:r>
        <w:t>D</w:t>
      </w:r>
      <w:r w:rsidRPr="00486B1A">
        <w:t xml:space="preserve">: </w:t>
      </w:r>
      <w:r w:rsidR="00F30625">
        <w:t>Operational Requirements for Project Teams</w:t>
      </w:r>
    </w:p>
    <w:p w14:paraId="0F2A6332" w14:textId="77777777" w:rsidR="00CD0233" w:rsidRPr="00CD0233" w:rsidRDefault="00CD0233" w:rsidP="00CD0233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5B7CDB" w:rsidRPr="00486B1A" w14:paraId="1D8920DF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097B7" w14:textId="6047E6D8" w:rsidR="005B7CDB" w:rsidRPr="00486B1A" w:rsidRDefault="00F30625" w:rsidP="00C06859">
            <w:pPr>
              <w:spacing w:after="0"/>
              <w:rPr>
                <w:b/>
                <w:bCs/>
              </w:rPr>
            </w:pPr>
            <w:r w:rsidRPr="00F30625">
              <w:rPr>
                <w:b/>
                <w:bCs/>
              </w:rPr>
              <w:t xml:space="preserve">Every project must maintain an active </w:t>
            </w:r>
            <w:proofErr w:type="spellStart"/>
            <w:r w:rsidRPr="00F30625">
              <w:rPr>
                <w:b/>
                <w:bCs/>
              </w:rPr>
              <w:t>SiD</w:t>
            </w:r>
            <w:proofErr w:type="spellEnd"/>
            <w:r w:rsidRPr="00F30625">
              <w:rPr>
                <w:b/>
                <w:bCs/>
              </w:rPr>
              <w:t xml:space="preserve"> Risk Register within the project’s </w:t>
            </w:r>
            <w:r w:rsidR="00B3667B">
              <w:rPr>
                <w:b/>
                <w:bCs/>
              </w:rPr>
              <w:t>data.</w:t>
            </w:r>
            <w:r w:rsidRPr="00F30625">
              <w:rPr>
                <w:b/>
                <w:bCs/>
              </w:rPr>
              <w:t xml:space="preserve"> No design package may progress past a milestone gate without an independent technical peer review verifying compliance with the engineering mechanics, applied load paths and structural integrity parameters.</w:t>
            </w:r>
          </w:p>
        </w:tc>
      </w:tr>
      <w:tr w:rsidR="00185216" w:rsidRPr="00486B1A" w14:paraId="4D2E6EB3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01602C" w14:textId="57D0415A" w:rsidR="00185216" w:rsidRPr="00F45DC7" w:rsidRDefault="000A2741" w:rsidP="006C4D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Client Consultations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6516F3" w14:textId="34F1E0AC" w:rsidR="00185216" w:rsidRPr="00486B1A" w:rsidRDefault="00D0277C" w:rsidP="006C4D74">
            <w:pPr>
              <w:spacing w:after="0"/>
            </w:pPr>
            <w:r w:rsidRPr="00D0277C">
              <w:t>Documenting client-specific operational constraints and risk tolerances.</w:t>
            </w:r>
          </w:p>
        </w:tc>
      </w:tr>
      <w:tr w:rsidR="00185216" w:rsidRPr="006233FD" w14:paraId="3DBB456C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06791D" w14:textId="4B04F49F" w:rsidR="00185216" w:rsidRPr="00F45DC7" w:rsidRDefault="000A2741" w:rsidP="006C4D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Constructability Workshops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ACFEE4" w14:textId="68B74FAE" w:rsidR="00185216" w:rsidRPr="006233FD" w:rsidRDefault="00D0277C" w:rsidP="006C4D74">
            <w:pPr>
              <w:spacing w:after="0"/>
            </w:pPr>
            <w:r w:rsidRPr="00D0277C">
              <w:t>Inviting the Principal Contractor (where engaged early) or external constructability experts to review safety implications of the construction sequence.</w:t>
            </w:r>
          </w:p>
        </w:tc>
      </w:tr>
    </w:tbl>
    <w:p w14:paraId="063A64FF" w14:textId="77777777" w:rsidR="005B7CDB" w:rsidRDefault="005B7CDB" w:rsidP="00C06859">
      <w:pPr>
        <w:spacing w:after="0"/>
      </w:pPr>
    </w:p>
    <w:p w14:paraId="0786C040" w14:textId="480F4013" w:rsidR="00D0277C" w:rsidRDefault="00D0277C" w:rsidP="00D0277C">
      <w:pPr>
        <w:pStyle w:val="Heading3"/>
        <w:spacing w:before="0" w:after="0"/>
      </w:pPr>
      <w:r w:rsidRPr="00486B1A">
        <w:t xml:space="preserve">Section </w:t>
      </w:r>
      <w:r>
        <w:t>E: Deliverables and Close-Out Documentation</w:t>
      </w:r>
    </w:p>
    <w:p w14:paraId="7F933F18" w14:textId="77777777" w:rsidR="00CD0233" w:rsidRPr="00CD0233" w:rsidRDefault="00CD0233" w:rsidP="00CD0233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D0277C" w:rsidRPr="00486B1A" w14:paraId="6454A40D" w14:textId="77777777" w:rsidTr="006C4D74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A00FC" w14:textId="5B41DE29" w:rsidR="00D0277C" w:rsidRPr="00486B1A" w:rsidRDefault="00FE52BC" w:rsidP="006C4D74">
            <w:pPr>
              <w:spacing w:after="0"/>
              <w:rPr>
                <w:b/>
                <w:bCs/>
              </w:rPr>
            </w:pPr>
            <w:r w:rsidRPr="00FE52BC">
              <w:rPr>
                <w:b/>
                <w:bCs/>
              </w:rPr>
              <w:t>A project is not legally clear for IFC declaration until the following documentation suite is finali</w:t>
            </w:r>
            <w:r w:rsidR="00FF41CA">
              <w:rPr>
                <w:b/>
                <w:bCs/>
              </w:rPr>
              <w:t>s</w:t>
            </w:r>
            <w:r w:rsidRPr="00FE52BC">
              <w:rPr>
                <w:b/>
                <w:bCs/>
              </w:rPr>
              <w:t>ed:</w:t>
            </w:r>
          </w:p>
        </w:tc>
      </w:tr>
      <w:tr w:rsidR="00D0277C" w:rsidRPr="00486B1A" w14:paraId="68EA8894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268521" w14:textId="35162D8E" w:rsidR="00D0277C" w:rsidRPr="00F45DC7" w:rsidRDefault="00FE52BC" w:rsidP="006C4D74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SiD</w:t>
            </w:r>
            <w:proofErr w:type="spellEnd"/>
            <w:r>
              <w:rPr>
                <w:b/>
                <w:bCs/>
              </w:rPr>
              <w:t xml:space="preserve"> Risk Register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E06E0" w14:textId="08F4AD81" w:rsidR="00D0277C" w:rsidRPr="00486B1A" w:rsidRDefault="00706B47" w:rsidP="006C4D74">
            <w:pPr>
              <w:spacing w:after="0"/>
            </w:pPr>
            <w:r w:rsidRPr="00706B47">
              <w:t>A live, comprehensive spreadsheet tracking identified hazards, calculated initial risk ratings, applied control measures (following the Hierarchy of Controls) and residual risk ratings.</w:t>
            </w:r>
          </w:p>
        </w:tc>
      </w:tr>
      <w:tr w:rsidR="00D0277C" w:rsidRPr="006233FD" w14:paraId="2A9CA4A9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86815E" w14:textId="4C20EE52" w:rsidR="00D0277C" w:rsidRPr="00F45DC7" w:rsidRDefault="00FE52BC" w:rsidP="006C4D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Safety in Design Report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1DA055" w14:textId="2E5845B7" w:rsidR="00D0277C" w:rsidRPr="006233FD" w:rsidRDefault="00706B47" w:rsidP="006C4D74">
            <w:pPr>
              <w:spacing w:after="0"/>
            </w:pPr>
            <w:r w:rsidRPr="00706B47">
              <w:t xml:space="preserve">A formal summary document provided to the client and principal contractor detailing any </w:t>
            </w:r>
            <w:r w:rsidRPr="00FF41CA">
              <w:t>residual risks that could not be designed out and must be managed via site-specific Safe Work</w:t>
            </w:r>
            <w:r w:rsidRPr="00706B47">
              <w:t xml:space="preserve"> Method Statements (SWMS).</w:t>
            </w:r>
          </w:p>
        </w:tc>
      </w:tr>
      <w:tr w:rsidR="00FE52BC" w:rsidRPr="006233FD" w14:paraId="1BE2D765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CC5995" w14:textId="1E5D65EA" w:rsidR="00FE52BC" w:rsidRDefault="00FE52BC" w:rsidP="006C4D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Registered Engineer Declaration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956F7C" w14:textId="375248C7" w:rsidR="00FE52BC" w:rsidRPr="00D0277C" w:rsidRDefault="00706B47" w:rsidP="006C4D74">
            <w:pPr>
              <w:spacing w:after="0"/>
            </w:pPr>
            <w:r w:rsidRPr="00706B47">
              <w:t>Formal sign-off by an appropriately credentialed, state-registered Professional Engineer (NER/DBP Act registered) certifying that the design complies with the relevant Australian Standards and the WHS Act.</w:t>
            </w:r>
          </w:p>
        </w:tc>
      </w:tr>
    </w:tbl>
    <w:p w14:paraId="638885ED" w14:textId="77777777" w:rsidR="00D0277C" w:rsidRDefault="00D0277C" w:rsidP="00C06859">
      <w:pPr>
        <w:spacing w:after="0"/>
      </w:pPr>
    </w:p>
    <w:p w14:paraId="2DCE33BB" w14:textId="50307185" w:rsidR="00B8284E" w:rsidRDefault="00B8284E" w:rsidP="00C06859">
      <w:pPr>
        <w:pStyle w:val="Heading3"/>
        <w:spacing w:before="0" w:after="0"/>
      </w:pPr>
      <w:r w:rsidRPr="00486B1A">
        <w:t xml:space="preserve">Section </w:t>
      </w:r>
      <w:r w:rsidR="00706B47">
        <w:t>F: Review and Continuous Improvement</w:t>
      </w:r>
    </w:p>
    <w:p w14:paraId="46D2EAE5" w14:textId="77777777" w:rsidR="00CD0233" w:rsidRPr="00CD0233" w:rsidRDefault="00CD0233" w:rsidP="00CD0233"/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B8284E" w:rsidRPr="00486B1A" w14:paraId="48A7D73E" w14:textId="77777777" w:rsidTr="008049ED">
        <w:trPr>
          <w:cantSplit/>
        </w:trPr>
        <w:tc>
          <w:tcPr>
            <w:tcW w:w="9064" w:type="dxa"/>
            <w:tcBorders>
              <w:top w:val="single" w:sz="6" w:space="0" w:color="1A365D"/>
              <w:left w:val="single" w:sz="6" w:space="0" w:color="1A365D"/>
              <w:bottom w:val="single" w:sz="4" w:space="0" w:color="153D63" w:themeColor="text2" w:themeTint="E6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36007" w14:textId="40F6DDFF" w:rsidR="00B8284E" w:rsidRPr="00486B1A" w:rsidRDefault="00641638" w:rsidP="00C06859">
            <w:pPr>
              <w:spacing w:after="0"/>
              <w:rPr>
                <w:b/>
                <w:bCs/>
              </w:rPr>
            </w:pPr>
            <w:r w:rsidRPr="00641638">
              <w:rPr>
                <w:b/>
                <w:bCs/>
              </w:rPr>
              <w:t>This policy and its associated templates will be reviewed annually by the Principal Civil Engineer and the WHS Compliance Manager to incorporate feedback from post-construction reviews, industry best practices, and legislative updates.</w:t>
            </w:r>
          </w:p>
        </w:tc>
      </w:tr>
    </w:tbl>
    <w:p w14:paraId="1541D5AD" w14:textId="77777777" w:rsidR="00641638" w:rsidRDefault="00641638" w:rsidP="00C06859">
      <w:pPr>
        <w:pStyle w:val="Heading2"/>
        <w:spacing w:before="0" w:after="0"/>
      </w:pPr>
    </w:p>
    <w:p w14:paraId="6CC2215F" w14:textId="085E8B51" w:rsidR="00511A5A" w:rsidRDefault="00CD0233" w:rsidP="00C06859">
      <w:pPr>
        <w:pStyle w:val="Heading2"/>
        <w:spacing w:before="0" w:after="0"/>
      </w:pPr>
      <w:r>
        <w:t>S</w:t>
      </w:r>
      <w:r w:rsidR="00511A5A" w:rsidRPr="00486B1A">
        <w:t xml:space="preserve">ection </w:t>
      </w:r>
      <w:r w:rsidR="00511A5A">
        <w:t>G: Document Control Register</w:t>
      </w:r>
    </w:p>
    <w:p w14:paraId="1B793B5C" w14:textId="77777777" w:rsidR="000F18E5" w:rsidRPr="000F18E5" w:rsidRDefault="000F18E5" w:rsidP="000F18E5"/>
    <w:tbl>
      <w:tblPr>
        <w:tblW w:w="9067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752"/>
      </w:tblGrid>
      <w:tr w:rsidR="00511A5A" w:rsidRPr="00486B1A" w14:paraId="2471FDCF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8725A1" w14:textId="20DC0AC7" w:rsidR="00511A5A" w:rsidRPr="00486B1A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Identifier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B95E3" w14:textId="3754B2A1" w:rsidR="00511A5A" w:rsidRPr="00511A5A" w:rsidRDefault="00D25B15" w:rsidP="00C06859">
            <w:pPr>
              <w:spacing w:after="0"/>
            </w:pPr>
            <w:r>
              <w:t>VC-POL_IMS_</w:t>
            </w:r>
            <w:r w:rsidR="00CE28D8">
              <w:t>002</w:t>
            </w:r>
          </w:p>
        </w:tc>
      </w:tr>
      <w:tr w:rsidR="00511A5A" w:rsidRPr="00486B1A" w14:paraId="6F2FE41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2A798" w14:textId="7FCA6EB9" w:rsidR="00511A5A" w:rsidRPr="00486B1A" w:rsidRDefault="00E85834" w:rsidP="00C06859">
            <w:pPr>
              <w:spacing w:after="0"/>
            </w:pPr>
            <w:r>
              <w:rPr>
                <w:b/>
                <w:bCs/>
              </w:rPr>
              <w:t>Current Version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4514F" w14:textId="67A8B653" w:rsidR="00511A5A" w:rsidRPr="00511A5A" w:rsidRDefault="00D25B15" w:rsidP="00C06859">
            <w:pPr>
              <w:spacing w:after="0"/>
            </w:pPr>
            <w:r>
              <w:t>1.0</w:t>
            </w:r>
          </w:p>
        </w:tc>
      </w:tr>
      <w:tr w:rsidR="00E85834" w:rsidRPr="00486B1A" w14:paraId="7E5FB52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CE092" w14:textId="2F611581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Effective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F043A4" w14:textId="627BC62A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/07/2026</w:t>
            </w:r>
          </w:p>
        </w:tc>
      </w:tr>
      <w:tr w:rsidR="00E85834" w:rsidRPr="00486B1A" w14:paraId="3118AF8E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E68011" w14:textId="1B06A0A6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BEB90" w14:textId="6F642993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/07/2027</w:t>
            </w:r>
          </w:p>
        </w:tc>
      </w:tr>
      <w:tr w:rsidR="00E85834" w:rsidRPr="00486B1A" w14:paraId="29B34A12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54F546" w14:textId="77CADF36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Owner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22DC9" w14:textId="0821DB7F" w:rsidR="00E85834" w:rsidRPr="00511A5A" w:rsidRDefault="008F0587" w:rsidP="00C06859">
            <w:pPr>
              <w:spacing w:after="0"/>
            </w:pPr>
            <w:r>
              <w:t>Principle Civil Engineer</w:t>
            </w:r>
          </w:p>
        </w:tc>
      </w:tr>
      <w:tr w:rsidR="00E85834" w:rsidRPr="00486B1A" w14:paraId="371AA64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C48AD1" w14:textId="56A1F08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0E4FDC" w14:textId="628D84DF" w:rsidR="00E85834" w:rsidRPr="00511A5A" w:rsidRDefault="00D67CC1" w:rsidP="00C06859">
            <w:pPr>
              <w:spacing w:after="0"/>
            </w:pPr>
            <w:r>
              <w:t>Approved</w:t>
            </w:r>
          </w:p>
        </w:tc>
      </w:tr>
      <w:tr w:rsidR="00E85834" w:rsidRPr="00486B1A" w14:paraId="0480E4DD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63360B" w14:textId="4A3D5E7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Version History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960044" w14:textId="18C60391" w:rsidR="008049ED" w:rsidRPr="00511A5A" w:rsidRDefault="008049ED" w:rsidP="00C06859">
            <w:pPr>
              <w:spacing w:after="0"/>
            </w:pPr>
            <w:r>
              <w:t>1</w:t>
            </w:r>
            <w:r w:rsidR="00974CDC">
              <w:t>5</w:t>
            </w:r>
            <w:r>
              <w:t xml:space="preserve">/07/2026 </w:t>
            </w:r>
          </w:p>
          <w:p w14:paraId="1D1D34D7" w14:textId="4AE08CB3" w:rsidR="00E85834" w:rsidRPr="00511A5A" w:rsidRDefault="008049ED" w:rsidP="00C06859">
            <w:pPr>
              <w:spacing w:after="0"/>
            </w:pPr>
            <w:r w:rsidRPr="008049ED">
              <w:t xml:space="preserve">Approved and released for </w:t>
            </w:r>
            <w:r w:rsidR="00E74EE8">
              <w:t>organisation</w:t>
            </w:r>
            <w:r w:rsidRPr="008049ED">
              <w:t>-wide implementation</w:t>
            </w:r>
            <w:r>
              <w:t>.</w:t>
            </w:r>
          </w:p>
        </w:tc>
      </w:tr>
    </w:tbl>
    <w:p w14:paraId="249B16B0" w14:textId="77777777" w:rsidR="00511A5A" w:rsidRDefault="00511A5A" w:rsidP="00C06859">
      <w:pPr>
        <w:spacing w:after="0"/>
      </w:pPr>
    </w:p>
    <w:sectPr w:rsidR="00511A5A" w:rsidSect="00737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551E" w14:textId="77777777" w:rsidR="00606C26" w:rsidRDefault="00606C26" w:rsidP="00486B1A">
      <w:pPr>
        <w:spacing w:after="0" w:line="240" w:lineRule="auto"/>
      </w:pPr>
      <w:r>
        <w:separator/>
      </w:r>
    </w:p>
  </w:endnote>
  <w:endnote w:type="continuationSeparator" w:id="0">
    <w:p w14:paraId="1A1D75E6" w14:textId="77777777" w:rsidR="00606C26" w:rsidRDefault="00606C26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A86" w14:textId="77777777" w:rsidR="00FB3F76" w:rsidRDefault="00FB3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3E79DFD0" w:rsidR="00486B1A" w:rsidRPr="009F07AA" w:rsidRDefault="00606C26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0463">
          <w:rPr>
            <w:rFonts w:ascii="Arial" w:hAnsi="Arial" w:cs="Arial"/>
            <w:sz w:val="16"/>
            <w:szCs w:val="16"/>
          </w:rPr>
          <w:t>Safety in Design Policy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CD0233">
      <w:rPr>
        <w:rFonts w:ascii="Arial" w:hAnsi="Arial" w:cs="Arial"/>
        <w:noProof/>
        <w:sz w:val="16"/>
        <w:szCs w:val="16"/>
      </w:rPr>
      <w:t>15/07/2026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BF9B45D" w:rsidR="00486B1A" w:rsidRPr="009F07AA" w:rsidRDefault="00606C26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FB3F76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BCA1" w14:textId="77777777" w:rsidR="00FB3F76" w:rsidRDefault="00FB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8EC5" w14:textId="77777777" w:rsidR="00606C26" w:rsidRDefault="00606C26" w:rsidP="00486B1A">
      <w:pPr>
        <w:spacing w:after="0" w:line="240" w:lineRule="auto"/>
      </w:pPr>
      <w:r>
        <w:separator/>
      </w:r>
    </w:p>
  </w:footnote>
  <w:footnote w:type="continuationSeparator" w:id="0">
    <w:p w14:paraId="63EADC71" w14:textId="77777777" w:rsidR="00606C26" w:rsidRDefault="00606C26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A5F" w14:textId="77777777" w:rsidR="00FB3F76" w:rsidRDefault="00FB3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CA81" w14:textId="77777777" w:rsidR="00FB3F76" w:rsidRDefault="00FB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177"/>
    <w:multiLevelType w:val="hybridMultilevel"/>
    <w:tmpl w:val="52E46E9C"/>
    <w:lvl w:ilvl="0" w:tplc="90CAFE9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1691"/>
    <w:multiLevelType w:val="multilevel"/>
    <w:tmpl w:val="B8A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30F7F"/>
    <w:multiLevelType w:val="hybridMultilevel"/>
    <w:tmpl w:val="9BDA6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14"/>
    <w:multiLevelType w:val="hybridMultilevel"/>
    <w:tmpl w:val="26CCCF88"/>
    <w:lvl w:ilvl="0" w:tplc="90CAFE9C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A25A7"/>
    <w:multiLevelType w:val="hybridMultilevel"/>
    <w:tmpl w:val="85B4B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D6C16"/>
    <w:multiLevelType w:val="hybridMultilevel"/>
    <w:tmpl w:val="995E4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310AE4"/>
    <w:multiLevelType w:val="hybridMultilevel"/>
    <w:tmpl w:val="1ADA8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10431">
    <w:abstractNumId w:val="6"/>
  </w:num>
  <w:num w:numId="2" w16cid:durableId="1031759370">
    <w:abstractNumId w:val="2"/>
  </w:num>
  <w:num w:numId="3" w16cid:durableId="366879599">
    <w:abstractNumId w:val="1"/>
  </w:num>
  <w:num w:numId="4" w16cid:durableId="1750036602">
    <w:abstractNumId w:val="4"/>
  </w:num>
  <w:num w:numId="5" w16cid:durableId="1784152799">
    <w:abstractNumId w:val="0"/>
  </w:num>
  <w:num w:numId="6" w16cid:durableId="1349409155">
    <w:abstractNumId w:val="3"/>
  </w:num>
  <w:num w:numId="7" w16cid:durableId="1735467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A2741"/>
    <w:rsid w:val="000C5C72"/>
    <w:rsid w:val="000F18E5"/>
    <w:rsid w:val="00106823"/>
    <w:rsid w:val="00115AD8"/>
    <w:rsid w:val="00117C19"/>
    <w:rsid w:val="00120195"/>
    <w:rsid w:val="00121723"/>
    <w:rsid w:val="00131329"/>
    <w:rsid w:val="00142DB8"/>
    <w:rsid w:val="00161A59"/>
    <w:rsid w:val="00185216"/>
    <w:rsid w:val="00197061"/>
    <w:rsid w:val="001E41A0"/>
    <w:rsid w:val="0025415F"/>
    <w:rsid w:val="0027164F"/>
    <w:rsid w:val="002F69B6"/>
    <w:rsid w:val="003035CA"/>
    <w:rsid w:val="00344C01"/>
    <w:rsid w:val="00361588"/>
    <w:rsid w:val="00361DDD"/>
    <w:rsid w:val="00382C70"/>
    <w:rsid w:val="00393E9C"/>
    <w:rsid w:val="003E2684"/>
    <w:rsid w:val="00446DF8"/>
    <w:rsid w:val="00486B1A"/>
    <w:rsid w:val="004C302A"/>
    <w:rsid w:val="004E357E"/>
    <w:rsid w:val="00511A5A"/>
    <w:rsid w:val="00523612"/>
    <w:rsid w:val="005375F9"/>
    <w:rsid w:val="00550A1C"/>
    <w:rsid w:val="005B7CDB"/>
    <w:rsid w:val="005D1168"/>
    <w:rsid w:val="00600804"/>
    <w:rsid w:val="00606C26"/>
    <w:rsid w:val="006233FD"/>
    <w:rsid w:val="00641638"/>
    <w:rsid w:val="0066026A"/>
    <w:rsid w:val="006710EE"/>
    <w:rsid w:val="00697612"/>
    <w:rsid w:val="00706B47"/>
    <w:rsid w:val="00737689"/>
    <w:rsid w:val="00753994"/>
    <w:rsid w:val="00770ADA"/>
    <w:rsid w:val="007E3D4F"/>
    <w:rsid w:val="008049ED"/>
    <w:rsid w:val="0082281D"/>
    <w:rsid w:val="00872CCB"/>
    <w:rsid w:val="008F0587"/>
    <w:rsid w:val="00937346"/>
    <w:rsid w:val="009410B3"/>
    <w:rsid w:val="00974CDC"/>
    <w:rsid w:val="009B764F"/>
    <w:rsid w:val="009E0037"/>
    <w:rsid w:val="009F07AA"/>
    <w:rsid w:val="009F4F89"/>
    <w:rsid w:val="00A1402F"/>
    <w:rsid w:val="00A3685F"/>
    <w:rsid w:val="00A950F8"/>
    <w:rsid w:val="00AC5B34"/>
    <w:rsid w:val="00AF64CD"/>
    <w:rsid w:val="00B3151E"/>
    <w:rsid w:val="00B3667B"/>
    <w:rsid w:val="00B60463"/>
    <w:rsid w:val="00B8284E"/>
    <w:rsid w:val="00BB50B6"/>
    <w:rsid w:val="00C06859"/>
    <w:rsid w:val="00C266C4"/>
    <w:rsid w:val="00C40F0C"/>
    <w:rsid w:val="00C70351"/>
    <w:rsid w:val="00CD0233"/>
    <w:rsid w:val="00CD5F48"/>
    <w:rsid w:val="00CE28D8"/>
    <w:rsid w:val="00CF3773"/>
    <w:rsid w:val="00D0277C"/>
    <w:rsid w:val="00D13FC9"/>
    <w:rsid w:val="00D25B15"/>
    <w:rsid w:val="00D50E11"/>
    <w:rsid w:val="00D53B39"/>
    <w:rsid w:val="00D63AE8"/>
    <w:rsid w:val="00D6462E"/>
    <w:rsid w:val="00D67CC1"/>
    <w:rsid w:val="00DF66E3"/>
    <w:rsid w:val="00E210CA"/>
    <w:rsid w:val="00E44BB0"/>
    <w:rsid w:val="00E64AF6"/>
    <w:rsid w:val="00E74EE8"/>
    <w:rsid w:val="00E77496"/>
    <w:rsid w:val="00E82058"/>
    <w:rsid w:val="00E85834"/>
    <w:rsid w:val="00E917B9"/>
    <w:rsid w:val="00E960A7"/>
    <w:rsid w:val="00EE4410"/>
    <w:rsid w:val="00F13D90"/>
    <w:rsid w:val="00F23749"/>
    <w:rsid w:val="00F30625"/>
    <w:rsid w:val="00F45DC7"/>
    <w:rsid w:val="00FB3F76"/>
    <w:rsid w:val="00FD3298"/>
    <w:rsid w:val="00FE52BC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7C"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772E0"/>
    <w:rsid w:val="00382C70"/>
    <w:rsid w:val="003F3E0B"/>
    <w:rsid w:val="00446DF8"/>
    <w:rsid w:val="0055485D"/>
    <w:rsid w:val="00600804"/>
    <w:rsid w:val="00757F1A"/>
    <w:rsid w:val="008442DD"/>
    <w:rsid w:val="00B702B0"/>
    <w:rsid w:val="00B92171"/>
    <w:rsid w:val="00E1130D"/>
    <w:rsid w:val="00E72B7C"/>
    <w:rsid w:val="00E73BF5"/>
    <w:rsid w:val="00E817ED"/>
    <w:rsid w:val="00F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Design Policy</dc:title>
  <dc:subject/>
  <dc:creator>Karin Florie</dc:creator>
  <cp:keywords/>
  <dc:description/>
  <cp:lastModifiedBy>Karin Florie</cp:lastModifiedBy>
  <cp:revision>30</cp:revision>
  <dcterms:created xsi:type="dcterms:W3CDTF">2026-07-14T23:28:00Z</dcterms:created>
  <dcterms:modified xsi:type="dcterms:W3CDTF">2026-07-15T02:48:00Z</dcterms:modified>
</cp:coreProperties>
</file>