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b w:val="0"/>
          <w:bCs/>
          <w:sz w:val="56"/>
          <w:szCs w:val="56"/>
        </w:rPr>
        <w:alias w:val="Title"/>
        <w:tag w:val=""/>
        <w:id w:val="1299806770"/>
        <w:placeholder>
          <w:docPart w:val="08BDABCF2EA3475BA15661D76D80746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56D891BE" w14:textId="2BD0D82C" w:rsidR="00486B1A" w:rsidRPr="00B01E40" w:rsidRDefault="00510C04" w:rsidP="00F717AD">
          <w:pPr>
            <w:pStyle w:val="Heading2"/>
            <w:rPr>
              <w:rStyle w:val="Heading1Char"/>
              <w:b w:val="0"/>
              <w:bCs/>
              <w:sz w:val="56"/>
              <w:szCs w:val="56"/>
            </w:rPr>
          </w:pPr>
          <w:r w:rsidRPr="00B01E40">
            <w:rPr>
              <w:rStyle w:val="Heading1Char"/>
              <w:b w:val="0"/>
              <w:bCs/>
              <w:sz w:val="56"/>
              <w:szCs w:val="56"/>
            </w:rPr>
            <w:t>Lessons Learned Register</w:t>
          </w:r>
        </w:p>
      </w:sdtContent>
    </w:sdt>
    <w:p w14:paraId="0BF8C56B" w14:textId="04CA3F8D" w:rsidR="00195F7A" w:rsidRPr="00195F7A" w:rsidRDefault="00B01E40" w:rsidP="00B01E40">
      <w:pPr>
        <w:ind w:right="403"/>
      </w:pPr>
      <w:r w:rsidRPr="00B01E40">
        <w:rPr>
          <w:bCs/>
        </w:rPr>
        <w:t>Purpose:</w:t>
      </w:r>
      <w:r w:rsidRPr="00B01E40">
        <w:t xml:space="preserve"> This register captures structural, operational, and design insights to prevent recurrence of design gaps, close the feedback loop between drafting and construction, and inform vocational training modules.</w:t>
      </w:r>
    </w:p>
    <w:tbl>
      <w:tblPr>
        <w:tblW w:w="15309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578"/>
        <w:gridCol w:w="1545"/>
        <w:gridCol w:w="3825"/>
        <w:gridCol w:w="3826"/>
        <w:gridCol w:w="3826"/>
      </w:tblGrid>
      <w:tr w:rsidR="00303DB3" w:rsidRPr="00486B1A" w14:paraId="3D9B6A26" w14:textId="571C4780" w:rsidTr="00B01E40">
        <w:trPr>
          <w:tblHeader/>
        </w:trPr>
        <w:tc>
          <w:tcPr>
            <w:tcW w:w="709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BFC6A" w14:textId="70492AC8" w:rsidR="00303DB3" w:rsidRPr="00486B1A" w:rsidRDefault="00232DA5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57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F58E8" w14:textId="1A797A1B" w:rsidR="00303DB3" w:rsidRPr="00486B1A" w:rsidRDefault="00232DA5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Project / Phase</w:t>
            </w:r>
          </w:p>
        </w:tc>
        <w:tc>
          <w:tcPr>
            <w:tcW w:w="154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E7996" w14:textId="76F88105" w:rsidR="00303DB3" w:rsidRPr="00486B1A" w:rsidRDefault="00232DA5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382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1DDC9D50" w14:textId="73C43CCB" w:rsidR="00303DB3" w:rsidRPr="00486B1A" w:rsidRDefault="00232DA5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Issue / Event</w:t>
            </w:r>
          </w:p>
        </w:tc>
        <w:tc>
          <w:tcPr>
            <w:tcW w:w="382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6AFE827B" w14:textId="7FA374EF" w:rsidR="00303DB3" w:rsidRPr="00486B1A" w:rsidRDefault="005E04A1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Lessons Learned and Root Cause </w:t>
            </w:r>
            <w:r w:rsidR="00596196">
              <w:rPr>
                <w:b/>
                <w:bCs/>
              </w:rPr>
              <w:t>Analysis</w:t>
            </w:r>
          </w:p>
        </w:tc>
        <w:tc>
          <w:tcPr>
            <w:tcW w:w="382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</w:tcPr>
          <w:p w14:paraId="72EFE8FE" w14:textId="1B52AF0E" w:rsidR="00303DB3" w:rsidRDefault="005E04A1" w:rsidP="00486B1A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Actions and KMS Update</w:t>
            </w:r>
          </w:p>
        </w:tc>
      </w:tr>
      <w:tr w:rsidR="00303DB3" w:rsidRPr="00486B1A" w14:paraId="0AECDBB7" w14:textId="6FD6BED8" w:rsidTr="00B01E40">
        <w:tc>
          <w:tcPr>
            <w:tcW w:w="709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441AE9" w14:textId="24B78E95" w:rsidR="00303DB3" w:rsidRPr="00596196" w:rsidRDefault="00232DA5" w:rsidP="00596196">
            <w:pPr>
              <w:spacing w:after="0"/>
            </w:pPr>
            <w:r w:rsidRPr="00596196">
              <w:t>001</w:t>
            </w:r>
          </w:p>
        </w:tc>
        <w:tc>
          <w:tcPr>
            <w:tcW w:w="1578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90DB8" w14:textId="4C89F8DD" w:rsidR="00303DB3" w:rsidRPr="00596196" w:rsidRDefault="00D77270" w:rsidP="00596196">
            <w:pPr>
              <w:spacing w:after="0"/>
            </w:pPr>
            <w:r w:rsidRPr="00596196">
              <w:t>Blackwood Highway Detailed Design</w:t>
            </w:r>
          </w:p>
        </w:tc>
        <w:tc>
          <w:tcPr>
            <w:tcW w:w="1545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04B12" w14:textId="42A448BD" w:rsidR="00303DB3" w:rsidRPr="00596196" w:rsidRDefault="005E04A1" w:rsidP="00596196">
            <w:pPr>
              <w:spacing w:after="0"/>
            </w:pPr>
            <w:r w:rsidRPr="00596196">
              <w:t>Technical (Design)</w:t>
            </w:r>
          </w:p>
        </w:tc>
        <w:tc>
          <w:tcPr>
            <w:tcW w:w="3825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CEC98BC" w14:textId="06C769CC" w:rsidR="00303DB3" w:rsidRPr="00596196" w:rsidRDefault="00E47283" w:rsidP="00596196">
            <w:pPr>
              <w:spacing w:after="0"/>
            </w:pPr>
            <w:r w:rsidRPr="00596196">
              <w:t xml:space="preserve">3D </w:t>
            </w:r>
            <w:r w:rsidR="00596196" w:rsidRPr="00596196">
              <w:t>modelling</w:t>
            </w:r>
            <w:r w:rsidRPr="00596196">
              <w:t xml:space="preserve"> elements failed to account for accurate pavement cross-fall interfaces, resulting in local stormwater ponding on a flat super-elevation transition.</w:t>
            </w:r>
          </w:p>
        </w:tc>
        <w:tc>
          <w:tcPr>
            <w:tcW w:w="3826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FF92C88" w14:textId="705DD328" w:rsidR="00303DB3" w:rsidRPr="00596196" w:rsidRDefault="00641734" w:rsidP="00596196">
            <w:pPr>
              <w:spacing w:after="0"/>
            </w:pPr>
            <w:r w:rsidRPr="00596196">
              <w:t>Standard 2D sections hid geometric complexities at the transition zone. Root Cause: Lack of dynamic multi-string correlation within the drainage design software.</w:t>
            </w:r>
          </w:p>
        </w:tc>
        <w:tc>
          <w:tcPr>
            <w:tcW w:w="3826" w:type="dxa"/>
            <w:tcBorders>
              <w:top w:val="single" w:sz="6" w:space="0" w:color="1A365D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644521" w14:textId="08967613" w:rsidR="00303DB3" w:rsidRPr="00596196" w:rsidRDefault="00BD6552" w:rsidP="00596196">
            <w:pPr>
              <w:spacing w:after="0"/>
            </w:pPr>
            <w:r w:rsidRPr="00596196">
              <w:t>Mandated string-to-string surface verification checks in all highway designs. Updated the Civil Cadets Training Manual (Unit: Civil Design).</w:t>
            </w:r>
          </w:p>
        </w:tc>
      </w:tr>
      <w:tr w:rsidR="005E04A1" w:rsidRPr="00486B1A" w14:paraId="2E5E1689" w14:textId="466960C2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B5BDCB" w14:textId="30E5A925" w:rsidR="005E04A1" w:rsidRPr="00596196" w:rsidRDefault="005E04A1" w:rsidP="00596196">
            <w:pPr>
              <w:spacing w:after="0"/>
            </w:pPr>
            <w:r w:rsidRPr="00596196">
              <w:t>002</w:t>
            </w: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3EE512" w14:textId="4C8EED53" w:rsidR="005E04A1" w:rsidRPr="00596196" w:rsidRDefault="00D77270" w:rsidP="00596196">
            <w:pPr>
              <w:spacing w:after="0"/>
            </w:pPr>
            <w:r w:rsidRPr="00596196">
              <w:t>Orchard Industrial Park Precast Structural</w:t>
            </w: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6B296" w14:textId="309B62F3" w:rsidR="005E04A1" w:rsidRPr="00596196" w:rsidRDefault="005E04A1" w:rsidP="00596196">
            <w:pPr>
              <w:spacing w:after="0"/>
            </w:pPr>
            <w:r w:rsidRPr="00596196">
              <w:t>Risk and Structural</w:t>
            </w: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935A76D" w14:textId="4C9D6EE6" w:rsidR="005E04A1" w:rsidRPr="00596196" w:rsidRDefault="00E47283" w:rsidP="00596196">
            <w:pPr>
              <w:spacing w:after="0"/>
            </w:pPr>
            <w:r w:rsidRPr="00596196">
              <w:t xml:space="preserve">Torsional stress cracking occurred during lifting operations on custom eccentric precast retaining units due to unaligned </w:t>
            </w:r>
            <w:r w:rsidR="00596196" w:rsidRPr="00596196">
              <w:t>centre</w:t>
            </w:r>
            <w:r w:rsidRPr="00596196">
              <w:t>-of-mass calculations.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ECA80E6" w14:textId="32E9D58B" w:rsidR="005E04A1" w:rsidRPr="00596196" w:rsidRDefault="00641734" w:rsidP="00596196">
            <w:pPr>
              <w:spacing w:after="0"/>
            </w:pPr>
            <w:r w:rsidRPr="00596196">
              <w:t xml:space="preserve">Dynamic lifting forces were </w:t>
            </w:r>
            <w:r w:rsidR="00596196" w:rsidRPr="00596196">
              <w:t>analysed</w:t>
            </w:r>
            <w:r w:rsidRPr="00596196">
              <w:t xml:space="preserve"> strictly on static loading principles. Root cause: Rigging geometry variations were omitted from the final structural engineer's check.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3B1C3FF" w14:textId="62E2BF68" w:rsidR="005E04A1" w:rsidRPr="00596196" w:rsidRDefault="00596196" w:rsidP="00596196">
            <w:pPr>
              <w:spacing w:after="0"/>
            </w:pPr>
            <w:r w:rsidRPr="00596196">
              <w:t>Rigging configuration models must match exact engineering mechanics parameters. Incorporated case study into the Precast Construction Engineering Guideline.</w:t>
            </w:r>
          </w:p>
        </w:tc>
      </w:tr>
      <w:tr w:rsidR="005E04A1" w:rsidRPr="00486B1A" w14:paraId="1D0D81B0" w14:textId="24F1BAAD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934AED" w14:textId="7596C110" w:rsidR="005E04A1" w:rsidRPr="00596196" w:rsidRDefault="005E04A1" w:rsidP="00596196">
            <w:pPr>
              <w:spacing w:after="0"/>
            </w:pPr>
            <w:r w:rsidRPr="00596196">
              <w:t>003</w:t>
            </w: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9008E" w14:textId="77777777" w:rsidR="00596196" w:rsidRDefault="00D77270" w:rsidP="00596196">
            <w:pPr>
              <w:spacing w:after="0"/>
            </w:pPr>
            <w:r w:rsidRPr="00596196">
              <w:t>Riverina Subdivisions Geotechnical</w:t>
            </w:r>
          </w:p>
          <w:p w14:paraId="2FAE590A" w14:textId="5CAF7E31" w:rsidR="005E04A1" w:rsidRPr="00596196" w:rsidRDefault="00D77270" w:rsidP="00596196">
            <w:pPr>
              <w:spacing w:after="0"/>
            </w:pPr>
            <w:r w:rsidRPr="00596196">
              <w:t>Site</w:t>
            </w: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AA089" w14:textId="6FE8D610" w:rsidR="005E04A1" w:rsidRPr="00596196" w:rsidRDefault="005E04A1" w:rsidP="00596196">
            <w:pPr>
              <w:spacing w:after="0"/>
            </w:pPr>
            <w:r w:rsidRPr="00596196">
              <w:t>Process / Surveys</w:t>
            </w: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0C416D" w14:textId="5B6A81A5" w:rsidR="005E04A1" w:rsidRPr="00596196" w:rsidRDefault="00E47283" w:rsidP="00596196">
            <w:pPr>
              <w:spacing w:after="0"/>
            </w:pPr>
            <w:r w:rsidRPr="00596196">
              <w:t xml:space="preserve">Mass balance earthworks </w:t>
            </w:r>
            <w:r w:rsidR="00596196" w:rsidRPr="00596196">
              <w:t>modelling</w:t>
            </w:r>
            <w:r w:rsidRPr="00596196">
              <w:t xml:space="preserve"> underestimated actual cut volume by 15%, causing structural material shortfalls and unexpected off-site disposal fees.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1C842CC" w14:textId="3CC0EA97" w:rsidR="005E04A1" w:rsidRPr="00596196" w:rsidRDefault="00641734" w:rsidP="00596196">
            <w:pPr>
              <w:spacing w:after="0"/>
            </w:pPr>
            <w:r w:rsidRPr="00596196">
              <w:t>Topographical survey data utili</w:t>
            </w:r>
            <w:r w:rsidR="00596196">
              <w:t>s</w:t>
            </w:r>
            <w:r w:rsidRPr="00596196">
              <w:t>ed interpolation spacing that was too sparse over highly irregular terrain contours.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89351DE" w14:textId="52255180" w:rsidR="005E04A1" w:rsidRPr="00596196" w:rsidRDefault="00596196" w:rsidP="00596196">
            <w:pPr>
              <w:spacing w:after="0"/>
            </w:pPr>
            <w:r w:rsidRPr="00596196">
              <w:t>Mandated maximum drone survey grid density bounds for variable terrains. Updated the IMS Subcontractor Pre-flight Checklist</w:t>
            </w:r>
          </w:p>
        </w:tc>
      </w:tr>
      <w:tr w:rsidR="005E04A1" w:rsidRPr="00486B1A" w14:paraId="6FA1BA6C" w14:textId="2B46F4BD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34EF37" w14:textId="33796DBC" w:rsidR="005E04A1" w:rsidRPr="00596196" w:rsidRDefault="005E04A1" w:rsidP="00596196">
            <w:pPr>
              <w:spacing w:after="0"/>
            </w:pPr>
            <w:r w:rsidRPr="00596196">
              <w:lastRenderedPageBreak/>
              <w:t>004</w:t>
            </w: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E640" w14:textId="0991A694" w:rsidR="005E04A1" w:rsidRPr="00596196" w:rsidRDefault="00D77270" w:rsidP="00596196">
            <w:pPr>
              <w:spacing w:after="0"/>
            </w:pPr>
            <w:r w:rsidRPr="00596196">
              <w:t>Emu Creek Bridge Outfall Hydrology NCC</w:t>
            </w: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2F3DA" w14:textId="637240A8" w:rsidR="005E04A1" w:rsidRPr="00596196" w:rsidRDefault="005E04A1" w:rsidP="00596196">
            <w:pPr>
              <w:spacing w:after="0"/>
            </w:pPr>
            <w:r w:rsidRPr="00596196">
              <w:t>Compliance</w:t>
            </w: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A7F40B0" w14:textId="4FB20FDC" w:rsidR="005E04A1" w:rsidRPr="00596196" w:rsidRDefault="00E47283" w:rsidP="00596196">
            <w:pPr>
              <w:spacing w:after="0"/>
            </w:pPr>
            <w:r w:rsidRPr="00596196">
              <w:t>Scour protection dimensions failed to pass environmental authority certification criteria due to outdated rainfall intensity-frequency</w:t>
            </w:r>
            <w:r w:rsidR="00596196">
              <w:t xml:space="preserve"> </w:t>
            </w:r>
            <w:r w:rsidRPr="00596196">
              <w:t>duration parameters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8B1BD6" w14:textId="4F154FD4" w:rsidR="005E04A1" w:rsidRPr="00596196" w:rsidRDefault="00641734" w:rsidP="00596196">
            <w:pPr>
              <w:spacing w:after="0"/>
            </w:pPr>
            <w:r w:rsidRPr="00596196">
              <w:t>Design inputs relied on old local council data matrices instead of updated national engineering guidelines.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C27B78C" w14:textId="7A134183" w:rsidR="005E04A1" w:rsidRPr="00596196" w:rsidRDefault="00596196" w:rsidP="00596196">
            <w:pPr>
              <w:spacing w:after="0"/>
            </w:pPr>
            <w:r w:rsidRPr="00596196">
              <w:t>Created a mandatory Design Basis Review Form in the IMS requiring verification of active climate data against current regulatory standards before drafting.</w:t>
            </w:r>
          </w:p>
        </w:tc>
      </w:tr>
      <w:tr w:rsidR="005E04A1" w:rsidRPr="00486B1A" w14:paraId="608FB11F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B7D24" w14:textId="5473A6ED" w:rsidR="005E04A1" w:rsidRPr="00596196" w:rsidRDefault="005E04A1" w:rsidP="00596196">
            <w:pPr>
              <w:spacing w:after="0"/>
            </w:pPr>
            <w:r w:rsidRPr="00596196">
              <w:t>005</w:t>
            </w: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CC164" w14:textId="58BB48AE" w:rsidR="005E04A1" w:rsidRPr="00596196" w:rsidRDefault="00D77270" w:rsidP="00596196">
            <w:pPr>
              <w:spacing w:after="0"/>
            </w:pPr>
            <w:r w:rsidRPr="00596196">
              <w:t>Apex Commercial Hub Utility Interface</w:t>
            </w: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640825" w14:textId="1D05B784" w:rsidR="005E04A1" w:rsidRPr="00596196" w:rsidRDefault="005E04A1" w:rsidP="00596196">
            <w:pPr>
              <w:spacing w:after="0"/>
            </w:pPr>
            <w:r w:rsidRPr="00596196">
              <w:t>Coordination</w:t>
            </w: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9996615" w14:textId="2F837FDB" w:rsidR="005E04A1" w:rsidRPr="00596196" w:rsidRDefault="00E47283" w:rsidP="00596196">
            <w:pPr>
              <w:spacing w:after="0"/>
            </w:pPr>
            <w:r w:rsidRPr="00596196">
              <w:t>High-voltage conduit configurations clashed with primary structural pad footings during early excavation works, stopping site execution for 4 days.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CEE0A06" w14:textId="439AE9B3" w:rsidR="005E04A1" w:rsidRPr="00596196" w:rsidRDefault="00641734" w:rsidP="00596196">
            <w:pPr>
              <w:spacing w:after="0"/>
            </w:pPr>
            <w:r w:rsidRPr="00596196">
              <w:t xml:space="preserve">Subcontractor utility layouts were updated using isolated 2D sketches without full </w:t>
            </w:r>
            <w:r w:rsidR="00596196" w:rsidRPr="00596196">
              <w:t>cross disciplinary</w:t>
            </w:r>
            <w:r w:rsidRPr="00596196">
              <w:t xml:space="preserve"> compilation in the federated BIM environment.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3034C36" w14:textId="28C54E6B" w:rsidR="005E04A1" w:rsidRPr="00596196" w:rsidRDefault="00596196" w:rsidP="00596196">
            <w:pPr>
              <w:spacing w:after="0"/>
            </w:pPr>
            <w:r w:rsidRPr="00596196">
              <w:t>Instituted automatic clash detection cycles under the supervision of the Digital Engineering and BIM Manager prior to issuing packages for construction.</w:t>
            </w:r>
          </w:p>
        </w:tc>
      </w:tr>
      <w:tr w:rsidR="005E04A1" w:rsidRPr="00486B1A" w14:paraId="75A5C8A5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B0FBD2" w14:textId="73D7C5EF" w:rsidR="005E04A1" w:rsidRPr="00596196" w:rsidRDefault="005E04A1" w:rsidP="00596196">
            <w:pPr>
              <w:spacing w:after="0"/>
            </w:pPr>
            <w:r w:rsidRPr="00596196">
              <w:t>006</w:t>
            </w: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B9743D" w14:textId="5D54D72B" w:rsidR="005E04A1" w:rsidRPr="00596196" w:rsidRDefault="00D77270" w:rsidP="00596196">
            <w:pPr>
              <w:spacing w:after="0"/>
            </w:pPr>
            <w:r w:rsidRPr="00596196">
              <w:t>Somerset Bulk Earthworks Drafting Standards</w:t>
            </w: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AD36E7" w14:textId="018A33A1" w:rsidR="005E04A1" w:rsidRPr="00596196" w:rsidRDefault="000F0BCF" w:rsidP="00596196">
            <w:pPr>
              <w:spacing w:after="0"/>
            </w:pPr>
            <w:r w:rsidRPr="00596196">
              <w:t>Technical (CAD)</w:t>
            </w: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E202796" w14:textId="21A7C345" w:rsidR="005E04A1" w:rsidRPr="00596196" w:rsidRDefault="00E47283" w:rsidP="00596196">
            <w:pPr>
              <w:spacing w:after="0"/>
            </w:pPr>
            <w:r w:rsidRPr="00596196">
              <w:t>Field execution layouts were compromised because multi-layered structural drawing files displayed incorrect dynamic scale viewports upon print extraction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29BA65F" w14:textId="148B39D3" w:rsidR="005E04A1" w:rsidRPr="00596196" w:rsidRDefault="00641734" w:rsidP="00596196">
            <w:pPr>
              <w:spacing w:after="0"/>
            </w:pPr>
            <w:r w:rsidRPr="00596196">
              <w:t>CAD trainees used multi-scale text annotations across legacy layer variations without locking the presentation viewports.</w:t>
            </w: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84A4E2D" w14:textId="6B974254" w:rsidR="005E04A1" w:rsidRPr="00596196" w:rsidRDefault="00A70637" w:rsidP="00596196">
            <w:pPr>
              <w:spacing w:after="0"/>
            </w:pPr>
            <w:r w:rsidRPr="00596196">
              <w:t>CAD trainees used multi-scale text annotations across legacy layer variations without locking the presentation viewports.</w:t>
            </w:r>
          </w:p>
        </w:tc>
      </w:tr>
      <w:tr w:rsidR="0080188F" w:rsidRPr="00486B1A" w14:paraId="3532BE43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0DBF1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282A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2AC278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47336D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0C516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A9C31E3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2EA34B7A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B4E11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2BF12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CEDE59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334E83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FBDE87C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38CE112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133CDEED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310B3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87E4C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601E5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E79412E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CC65D6B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0FADEA9" w14:textId="77777777" w:rsidR="0080188F" w:rsidRPr="00486B1A" w:rsidRDefault="0080188F" w:rsidP="00195F7A">
            <w:pPr>
              <w:spacing w:after="0"/>
            </w:pPr>
          </w:p>
        </w:tc>
      </w:tr>
      <w:tr w:rsidR="0080188F" w:rsidRPr="00486B1A" w14:paraId="16B5ECDC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B02513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B196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5A538A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D43CE24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D482267" w14:textId="77777777" w:rsidR="0080188F" w:rsidRPr="00486B1A" w:rsidRDefault="0080188F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35CB5C5" w14:textId="77777777" w:rsidR="0080188F" w:rsidRPr="00486B1A" w:rsidRDefault="0080188F" w:rsidP="00195F7A">
            <w:pPr>
              <w:spacing w:after="0"/>
            </w:pPr>
          </w:p>
        </w:tc>
      </w:tr>
      <w:tr w:rsidR="00C92928" w:rsidRPr="00486B1A" w14:paraId="5D738DF7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809A69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B0853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F34501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CAB0FDA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98C0BE4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CB100AB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7E116033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8EF35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1B0E13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F7E031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A60AA3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96EE7E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EC386A7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66D9298A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70B13E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4C4F4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89E94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EC803A4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A408E29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99A7DCE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54469C44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15206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889509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CA6C03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79E7E97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66B35FB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A02B0D4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3D158954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6EE3E9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A6BD0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6E24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6D498B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4F357CE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67C6403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61F6298E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5A9AC3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EFF77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F66FA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225E2B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2781F51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55611D0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54D81995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7EF22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1DC43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FD5C2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06C52CC6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5534AEC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76E12E7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3D61D43C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B50DBB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CACE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E2F2C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389F2F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E3C0DF5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0F04A5F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71E6EACF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A953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FB7D61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05CBA1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061ADB6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E52113C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D6BF6C6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26CD336F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A3349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267E7E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CF9398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195E16AC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9987FE7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A6F9C54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386A354A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4627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73480C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9FF11D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2FF1CFE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6AC2DAF7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50571916" w14:textId="77777777" w:rsidR="00C92928" w:rsidRPr="00486B1A" w:rsidRDefault="00C92928" w:rsidP="00195F7A">
            <w:pPr>
              <w:spacing w:after="0"/>
            </w:pPr>
          </w:p>
        </w:tc>
      </w:tr>
      <w:tr w:rsidR="00C92928" w:rsidRPr="00486B1A" w14:paraId="6727EC1F" w14:textId="77777777" w:rsidTr="00B01E40">
        <w:tc>
          <w:tcPr>
            <w:tcW w:w="709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0D2977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7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FC5F8C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154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EA42DF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7B1423A6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4EA891D0" w14:textId="77777777" w:rsidR="00C92928" w:rsidRPr="00486B1A" w:rsidRDefault="00C92928" w:rsidP="00195F7A">
            <w:pPr>
              <w:spacing w:after="0"/>
            </w:pPr>
          </w:p>
        </w:tc>
        <w:tc>
          <w:tcPr>
            <w:tcW w:w="382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</w:tcPr>
          <w:p w14:paraId="33EEB1CE" w14:textId="77777777" w:rsidR="00C92928" w:rsidRPr="00486B1A" w:rsidRDefault="00C92928" w:rsidP="00195F7A">
            <w:pPr>
              <w:spacing w:after="0"/>
            </w:pPr>
          </w:p>
        </w:tc>
      </w:tr>
    </w:tbl>
    <w:p w14:paraId="15CFA435" w14:textId="77777777" w:rsidR="00195F7A" w:rsidRDefault="00195F7A" w:rsidP="00195F7A">
      <w:pPr>
        <w:spacing w:after="0"/>
        <w:sectPr w:rsidR="00195F7A" w:rsidSect="00B01E40">
          <w:headerReference w:type="default" r:id="rId7"/>
          <w:footerReference w:type="default" r:id="rId8"/>
          <w:pgSz w:w="16838" w:h="11906" w:orient="landscape"/>
          <w:pgMar w:top="1440" w:right="678" w:bottom="1440" w:left="1440" w:header="397" w:footer="709" w:gutter="0"/>
          <w:cols w:space="708"/>
          <w:docGrid w:linePitch="360"/>
        </w:sectPr>
      </w:pPr>
    </w:p>
    <w:p w14:paraId="696CB002" w14:textId="77777777" w:rsidR="00C70351" w:rsidRDefault="00C70351" w:rsidP="00C92928">
      <w:pPr>
        <w:pStyle w:val="Heading2"/>
      </w:pPr>
    </w:p>
    <w:sectPr w:rsidR="00C70351" w:rsidSect="00195F7A"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C2C0" w14:textId="77777777" w:rsidR="00CA3B9C" w:rsidRDefault="00CA3B9C" w:rsidP="00486B1A">
      <w:pPr>
        <w:spacing w:after="0" w:line="240" w:lineRule="auto"/>
      </w:pPr>
      <w:r>
        <w:separator/>
      </w:r>
    </w:p>
  </w:endnote>
  <w:endnote w:type="continuationSeparator" w:id="0">
    <w:p w14:paraId="73A9D839" w14:textId="77777777" w:rsidR="00CA3B9C" w:rsidRDefault="00CA3B9C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4EA21866" w:rsidR="00486B1A" w:rsidRPr="009F07AA" w:rsidRDefault="00CA3B9C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2DA5">
          <w:rPr>
            <w:rFonts w:ascii="Arial" w:hAnsi="Arial" w:cs="Arial"/>
            <w:sz w:val="16"/>
            <w:szCs w:val="16"/>
          </w:rPr>
          <w:t xml:space="preserve">Lessons Learned </w:t>
        </w:r>
        <w:r w:rsidR="00F322FB">
          <w:rPr>
            <w:rFonts w:ascii="Arial" w:hAnsi="Arial" w:cs="Arial"/>
            <w:sz w:val="16"/>
            <w:szCs w:val="16"/>
          </w:rPr>
          <w:t>Register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656B29">
      <w:rPr>
        <w:rFonts w:ascii="Arial" w:hAnsi="Arial" w:cs="Arial"/>
        <w:noProof/>
        <w:sz w:val="16"/>
        <w:szCs w:val="16"/>
      </w:rPr>
      <w:t>16/07/2026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BF9B45D" w:rsidR="00486B1A" w:rsidRPr="009F07AA" w:rsidRDefault="00CA3B9C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FB3F76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FB60" w14:textId="77777777" w:rsidR="00CA3B9C" w:rsidRDefault="00CA3B9C" w:rsidP="00486B1A">
      <w:pPr>
        <w:spacing w:after="0" w:line="240" w:lineRule="auto"/>
      </w:pPr>
      <w:r>
        <w:separator/>
      </w:r>
    </w:p>
  </w:footnote>
  <w:footnote w:type="continuationSeparator" w:id="0">
    <w:p w14:paraId="4D5ACD43" w14:textId="77777777" w:rsidR="00CA3B9C" w:rsidRDefault="00CA3B9C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1999948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C5C72"/>
    <w:rsid w:val="000F0BCF"/>
    <w:rsid w:val="000F1938"/>
    <w:rsid w:val="00106823"/>
    <w:rsid w:val="00115AD8"/>
    <w:rsid w:val="00117C19"/>
    <w:rsid w:val="00120195"/>
    <w:rsid w:val="00121723"/>
    <w:rsid w:val="00142DB8"/>
    <w:rsid w:val="00161A59"/>
    <w:rsid w:val="00195F7A"/>
    <w:rsid w:val="001A4416"/>
    <w:rsid w:val="001C7618"/>
    <w:rsid w:val="00232DA5"/>
    <w:rsid w:val="0025415F"/>
    <w:rsid w:val="0027164F"/>
    <w:rsid w:val="002F69B6"/>
    <w:rsid w:val="003035CA"/>
    <w:rsid w:val="00303DB3"/>
    <w:rsid w:val="00344C01"/>
    <w:rsid w:val="00361588"/>
    <w:rsid w:val="00361DDD"/>
    <w:rsid w:val="003E2684"/>
    <w:rsid w:val="00486B1A"/>
    <w:rsid w:val="004A1DC7"/>
    <w:rsid w:val="004C302A"/>
    <w:rsid w:val="00510C04"/>
    <w:rsid w:val="00596196"/>
    <w:rsid w:val="005B4ACA"/>
    <w:rsid w:val="005E04A1"/>
    <w:rsid w:val="005F3B76"/>
    <w:rsid w:val="00641734"/>
    <w:rsid w:val="00654720"/>
    <w:rsid w:val="00656B29"/>
    <w:rsid w:val="00737689"/>
    <w:rsid w:val="00753994"/>
    <w:rsid w:val="00766186"/>
    <w:rsid w:val="00770ADA"/>
    <w:rsid w:val="007E3D4F"/>
    <w:rsid w:val="0080188F"/>
    <w:rsid w:val="0082281D"/>
    <w:rsid w:val="00936B31"/>
    <w:rsid w:val="009410B3"/>
    <w:rsid w:val="009B2170"/>
    <w:rsid w:val="009B764F"/>
    <w:rsid w:val="009E0037"/>
    <w:rsid w:val="009F07AA"/>
    <w:rsid w:val="00A70637"/>
    <w:rsid w:val="00AC607B"/>
    <w:rsid w:val="00AF52C3"/>
    <w:rsid w:val="00B01E40"/>
    <w:rsid w:val="00B3151E"/>
    <w:rsid w:val="00BB50B6"/>
    <w:rsid w:val="00BD6552"/>
    <w:rsid w:val="00C266C4"/>
    <w:rsid w:val="00C40F0C"/>
    <w:rsid w:val="00C6138B"/>
    <w:rsid w:val="00C70351"/>
    <w:rsid w:val="00C92928"/>
    <w:rsid w:val="00CA3B9C"/>
    <w:rsid w:val="00CD1903"/>
    <w:rsid w:val="00CD5F48"/>
    <w:rsid w:val="00D50E11"/>
    <w:rsid w:val="00D53B39"/>
    <w:rsid w:val="00D7502A"/>
    <w:rsid w:val="00D77270"/>
    <w:rsid w:val="00D80902"/>
    <w:rsid w:val="00E47283"/>
    <w:rsid w:val="00E75397"/>
    <w:rsid w:val="00E82058"/>
    <w:rsid w:val="00E960A7"/>
    <w:rsid w:val="00EB0D49"/>
    <w:rsid w:val="00F060FF"/>
    <w:rsid w:val="00F1617F"/>
    <w:rsid w:val="00F322FB"/>
    <w:rsid w:val="00F32316"/>
    <w:rsid w:val="00F717AD"/>
    <w:rsid w:val="00F830C2"/>
    <w:rsid w:val="00FB3F76"/>
    <w:rsid w:val="00F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08BDABCF2EA3475BA15661D76D80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5F76-9508-45C9-8A98-11A460EE193B}"/>
      </w:docPartPr>
      <w:docPartBody>
        <w:p w:rsidR="0006546C" w:rsidRDefault="007C7EA9">
          <w:r w:rsidRPr="00E6436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06546C"/>
    <w:rsid w:val="00361DDD"/>
    <w:rsid w:val="003772E0"/>
    <w:rsid w:val="003F3E0B"/>
    <w:rsid w:val="005173A0"/>
    <w:rsid w:val="0055485D"/>
    <w:rsid w:val="005B0AA8"/>
    <w:rsid w:val="005B4ACA"/>
    <w:rsid w:val="00654720"/>
    <w:rsid w:val="0072097B"/>
    <w:rsid w:val="00757F1A"/>
    <w:rsid w:val="007C7EA9"/>
    <w:rsid w:val="00B702B0"/>
    <w:rsid w:val="00B92171"/>
    <w:rsid w:val="00D80902"/>
    <w:rsid w:val="00E1130D"/>
    <w:rsid w:val="00E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EA9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 Register</dc:title>
  <dc:subject/>
  <dc:creator>Karin Florie</dc:creator>
  <cp:keywords/>
  <dc:description/>
  <cp:lastModifiedBy>Karin Florie</cp:lastModifiedBy>
  <cp:revision>18</cp:revision>
  <dcterms:created xsi:type="dcterms:W3CDTF">2026-07-16T00:03:00Z</dcterms:created>
  <dcterms:modified xsi:type="dcterms:W3CDTF">2026-07-16T01:02:00Z</dcterms:modified>
</cp:coreProperties>
</file>