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Style w:val="Heading1Char"/>
          <w:b w:val="0"/>
          <w:bCs/>
          <w:sz w:val="56"/>
          <w:szCs w:val="56"/>
        </w:rPr>
        <w:alias w:val="Title"/>
        <w:tag w:val=""/>
        <w:id w:val="1299806770"/>
        <w:placeholder>
          <w:docPart w:val="08BDABCF2EA3475BA15661D76D807465"/>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p w14:paraId="56D891BE" w14:textId="3D06CE53" w:rsidR="00486B1A" w:rsidRPr="00B01E40" w:rsidRDefault="00F927C3" w:rsidP="00F717AD">
          <w:pPr>
            <w:pStyle w:val="Heading2"/>
            <w:rPr>
              <w:rStyle w:val="Heading1Char"/>
              <w:b w:val="0"/>
              <w:bCs/>
              <w:sz w:val="56"/>
              <w:szCs w:val="56"/>
            </w:rPr>
          </w:pPr>
          <w:r>
            <w:rPr>
              <w:rStyle w:val="Heading1Char"/>
              <w:b w:val="0"/>
              <w:bCs/>
              <w:sz w:val="56"/>
              <w:szCs w:val="56"/>
            </w:rPr>
            <w:t>Conflict of Interest</w:t>
          </w:r>
          <w:r w:rsidR="00510C04" w:rsidRPr="00B01E40">
            <w:rPr>
              <w:rStyle w:val="Heading1Char"/>
              <w:b w:val="0"/>
              <w:bCs/>
              <w:sz w:val="56"/>
              <w:szCs w:val="56"/>
            </w:rPr>
            <w:t xml:space="preserve"> Register</w:t>
          </w:r>
        </w:p>
      </w:sdtContent>
    </w:sdt>
    <w:p w14:paraId="0BF8C56B" w14:textId="375D5D52" w:rsidR="00195F7A" w:rsidRPr="00195F7A" w:rsidRDefault="00B01E40" w:rsidP="00B01E40">
      <w:pPr>
        <w:ind w:right="403"/>
      </w:pPr>
      <w:r w:rsidRPr="00B01E40">
        <w:rPr>
          <w:bCs/>
        </w:rPr>
        <w:t>Purpose:</w:t>
      </w:r>
      <w:r w:rsidRPr="00B01E40">
        <w:t xml:space="preserve"> This register </w:t>
      </w:r>
      <w:r w:rsidR="00855EA3">
        <w:t>is an official governance record that identifies, classifies, and tracks situations where an employee's personal relationships or financial interests could bias their professional duties, establishing mandatory mitigation strategies to protect the organization's transparency, commercial integrity, and regulatory compliance.</w:t>
      </w:r>
    </w:p>
    <w:tbl>
      <w:tblPr>
        <w:tblW w:w="0" w:type="auto"/>
        <w:tblInd w:w="-575" w:type="dxa"/>
        <w:tblCellMar>
          <w:top w:w="15" w:type="dxa"/>
          <w:left w:w="15" w:type="dxa"/>
          <w:bottom w:w="15" w:type="dxa"/>
          <w:right w:w="15" w:type="dxa"/>
        </w:tblCellMar>
        <w:tblLook w:val="04A0" w:firstRow="1" w:lastRow="0" w:firstColumn="1" w:lastColumn="0" w:noHBand="0" w:noVBand="1"/>
      </w:tblPr>
      <w:tblGrid>
        <w:gridCol w:w="653"/>
        <w:gridCol w:w="1881"/>
        <w:gridCol w:w="1316"/>
        <w:gridCol w:w="4024"/>
        <w:gridCol w:w="1916"/>
        <w:gridCol w:w="4466"/>
      </w:tblGrid>
      <w:tr w:rsidR="00495F61" w:rsidRPr="00486B1A" w14:paraId="3D9B6A26" w14:textId="571C4780" w:rsidTr="00EC7231">
        <w:trPr>
          <w:trHeight w:val="908"/>
          <w:tblHeader/>
        </w:trPr>
        <w:tc>
          <w:tcPr>
            <w:tcW w:w="0" w:type="auto"/>
            <w:tcBorders>
              <w:top w:val="single" w:sz="6" w:space="0" w:color="1A365D"/>
              <w:left w:val="single" w:sz="6" w:space="0" w:color="1A365D"/>
              <w:bottom w:val="single" w:sz="6" w:space="0" w:color="1A365D"/>
              <w:right w:val="single" w:sz="6" w:space="0" w:color="1A365D"/>
            </w:tcBorders>
            <w:shd w:val="clear" w:color="auto" w:fill="1A365D"/>
            <w:tcMar>
              <w:top w:w="150" w:type="dxa"/>
              <w:left w:w="150" w:type="dxa"/>
              <w:bottom w:w="150" w:type="dxa"/>
              <w:right w:w="150" w:type="dxa"/>
            </w:tcMar>
            <w:hideMark/>
          </w:tcPr>
          <w:p w14:paraId="4D5BFC6A" w14:textId="70492AC8" w:rsidR="00495F61" w:rsidRPr="00486B1A" w:rsidRDefault="00495F61" w:rsidP="00495F61">
            <w:pPr>
              <w:spacing w:after="0"/>
              <w:rPr>
                <w:b/>
                <w:bCs/>
              </w:rPr>
            </w:pPr>
            <w:r>
              <w:rPr>
                <w:b/>
                <w:bCs/>
              </w:rPr>
              <w:t>ID</w:t>
            </w:r>
          </w:p>
        </w:tc>
        <w:tc>
          <w:tcPr>
            <w:tcW w:w="0" w:type="auto"/>
            <w:tcBorders>
              <w:top w:val="single" w:sz="6" w:space="0" w:color="1A365D"/>
              <w:left w:val="single" w:sz="6" w:space="0" w:color="1A365D"/>
              <w:bottom w:val="single" w:sz="6" w:space="0" w:color="1A365D"/>
              <w:right w:val="single" w:sz="6" w:space="0" w:color="1A365D"/>
            </w:tcBorders>
            <w:shd w:val="clear" w:color="auto" w:fill="1A365D"/>
            <w:tcMar>
              <w:top w:w="150" w:type="dxa"/>
              <w:left w:w="150" w:type="dxa"/>
              <w:bottom w:w="150" w:type="dxa"/>
              <w:right w:w="150" w:type="dxa"/>
            </w:tcMar>
            <w:hideMark/>
          </w:tcPr>
          <w:p w14:paraId="5CEF58E8" w14:textId="198CDC27" w:rsidR="00495F61" w:rsidRPr="00486B1A" w:rsidRDefault="00495F61" w:rsidP="00495F61">
            <w:pPr>
              <w:spacing w:after="0"/>
              <w:rPr>
                <w:b/>
                <w:bCs/>
              </w:rPr>
            </w:pPr>
            <w:r>
              <w:rPr>
                <w:b/>
                <w:bCs/>
              </w:rPr>
              <w:t>Declarant Name and Role</w:t>
            </w:r>
          </w:p>
        </w:tc>
        <w:tc>
          <w:tcPr>
            <w:tcW w:w="0" w:type="auto"/>
            <w:tcBorders>
              <w:top w:val="single" w:sz="6" w:space="0" w:color="1A365D"/>
              <w:left w:val="single" w:sz="6" w:space="0" w:color="1A365D"/>
              <w:bottom w:val="single" w:sz="6" w:space="0" w:color="1A365D"/>
              <w:right w:val="single" w:sz="6" w:space="0" w:color="1A365D"/>
            </w:tcBorders>
            <w:shd w:val="clear" w:color="auto" w:fill="1A365D"/>
            <w:tcMar>
              <w:top w:w="150" w:type="dxa"/>
              <w:left w:w="150" w:type="dxa"/>
              <w:bottom w:w="150" w:type="dxa"/>
              <w:right w:w="150" w:type="dxa"/>
            </w:tcMar>
            <w:hideMark/>
          </w:tcPr>
          <w:p w14:paraId="604E7996" w14:textId="48C72A0B" w:rsidR="00495F61" w:rsidRPr="00486B1A" w:rsidRDefault="00495F61" w:rsidP="00495F61">
            <w:pPr>
              <w:spacing w:after="0"/>
              <w:rPr>
                <w:b/>
                <w:bCs/>
              </w:rPr>
            </w:pPr>
            <w:r>
              <w:rPr>
                <w:b/>
                <w:bCs/>
              </w:rPr>
              <w:t>Conflict Type</w:t>
            </w:r>
          </w:p>
        </w:tc>
        <w:tc>
          <w:tcPr>
            <w:tcW w:w="0" w:type="auto"/>
            <w:tcBorders>
              <w:top w:val="single" w:sz="6" w:space="0" w:color="1A365D"/>
              <w:left w:val="single" w:sz="6" w:space="0" w:color="1A365D"/>
              <w:bottom w:val="single" w:sz="6" w:space="0" w:color="1A365D"/>
              <w:right w:val="single" w:sz="6" w:space="0" w:color="1A365D"/>
            </w:tcBorders>
            <w:shd w:val="clear" w:color="auto" w:fill="1A365D"/>
          </w:tcPr>
          <w:p w14:paraId="1DDC9D50" w14:textId="79C891D1" w:rsidR="00495F61" w:rsidRPr="00EC7231" w:rsidRDefault="00495F61" w:rsidP="00495F61">
            <w:pPr>
              <w:spacing w:after="0"/>
              <w:rPr>
                <w:b/>
                <w:bCs/>
              </w:rPr>
            </w:pPr>
            <w:r w:rsidRPr="00EC7231">
              <w:rPr>
                <w:b/>
                <w:bCs/>
              </w:rPr>
              <w:t>Description of Interest or Relationship</w:t>
            </w:r>
          </w:p>
        </w:tc>
        <w:tc>
          <w:tcPr>
            <w:tcW w:w="0" w:type="auto"/>
            <w:tcBorders>
              <w:top w:val="single" w:sz="6" w:space="0" w:color="1A365D"/>
              <w:left w:val="single" w:sz="6" w:space="0" w:color="1A365D"/>
              <w:bottom w:val="single" w:sz="6" w:space="0" w:color="1A365D"/>
              <w:right w:val="single" w:sz="6" w:space="0" w:color="1A365D"/>
            </w:tcBorders>
            <w:shd w:val="clear" w:color="auto" w:fill="1A365D"/>
          </w:tcPr>
          <w:p w14:paraId="6AFE827B" w14:textId="4DF64D84" w:rsidR="00495F61" w:rsidRPr="00EC7231" w:rsidRDefault="00495F61" w:rsidP="00495F61">
            <w:pPr>
              <w:spacing w:after="0"/>
              <w:rPr>
                <w:b/>
                <w:bCs/>
              </w:rPr>
            </w:pPr>
            <w:r w:rsidRPr="00EC7231">
              <w:rPr>
                <w:b/>
                <w:bCs/>
              </w:rPr>
              <w:t>CAD Workspace Standards &amp; Digital</w:t>
            </w:r>
          </w:p>
        </w:tc>
        <w:tc>
          <w:tcPr>
            <w:tcW w:w="0" w:type="auto"/>
            <w:tcBorders>
              <w:top w:val="single" w:sz="6" w:space="0" w:color="1A365D"/>
              <w:left w:val="single" w:sz="6" w:space="0" w:color="1A365D"/>
              <w:bottom w:val="single" w:sz="6" w:space="0" w:color="1A365D"/>
              <w:right w:val="single" w:sz="6" w:space="0" w:color="1A365D"/>
            </w:tcBorders>
            <w:shd w:val="clear" w:color="auto" w:fill="1A365D"/>
          </w:tcPr>
          <w:p w14:paraId="72EFE8FE" w14:textId="37207A8A" w:rsidR="00495F61" w:rsidRDefault="00495F61" w:rsidP="00495F61">
            <w:pPr>
              <w:spacing w:after="0"/>
              <w:rPr>
                <w:b/>
                <w:bCs/>
              </w:rPr>
            </w:pPr>
            <w:r>
              <w:rPr>
                <w:b/>
                <w:bCs/>
              </w:rPr>
              <w:t xml:space="preserve">Approved Management and Mitigation </w:t>
            </w:r>
            <w:r w:rsidR="00EC7231">
              <w:rPr>
                <w:b/>
                <w:bCs/>
              </w:rPr>
              <w:t>Strategy</w:t>
            </w:r>
          </w:p>
        </w:tc>
      </w:tr>
      <w:tr w:rsidR="00495F61" w:rsidRPr="00486B1A" w14:paraId="0AECDBB7" w14:textId="6FD6BED8" w:rsidTr="00EC7231">
        <w:trPr>
          <w:trHeight w:val="1304"/>
        </w:trPr>
        <w:tc>
          <w:tcPr>
            <w:tcW w:w="0" w:type="auto"/>
            <w:tcBorders>
              <w:top w:val="single" w:sz="6" w:space="0" w:color="1A365D"/>
              <w:left w:val="single" w:sz="6" w:space="0" w:color="CBD5E0"/>
              <w:bottom w:val="single" w:sz="6" w:space="0" w:color="CBD5E0"/>
              <w:right w:val="single" w:sz="6" w:space="0" w:color="CBD5E0"/>
            </w:tcBorders>
            <w:tcMar>
              <w:top w:w="150" w:type="dxa"/>
              <w:left w:w="150" w:type="dxa"/>
              <w:bottom w:w="150" w:type="dxa"/>
              <w:right w:w="150" w:type="dxa"/>
            </w:tcMar>
          </w:tcPr>
          <w:p w14:paraId="0E441AE9" w14:textId="24B78E95" w:rsidR="00495F61" w:rsidRPr="00596196" w:rsidRDefault="00495F61" w:rsidP="00495F61">
            <w:pPr>
              <w:spacing w:after="0"/>
            </w:pPr>
            <w:r w:rsidRPr="00596196">
              <w:t>001</w:t>
            </w:r>
          </w:p>
        </w:tc>
        <w:tc>
          <w:tcPr>
            <w:tcW w:w="0" w:type="auto"/>
            <w:tcBorders>
              <w:top w:val="single" w:sz="6" w:space="0" w:color="1A365D"/>
              <w:left w:val="single" w:sz="6" w:space="0" w:color="CBD5E0"/>
              <w:bottom w:val="single" w:sz="6" w:space="0" w:color="CBD5E0"/>
              <w:right w:val="single" w:sz="6" w:space="0" w:color="CBD5E0"/>
            </w:tcBorders>
            <w:tcMar>
              <w:top w:w="150" w:type="dxa"/>
              <w:left w:w="150" w:type="dxa"/>
              <w:bottom w:w="150" w:type="dxa"/>
              <w:right w:w="150" w:type="dxa"/>
            </w:tcMar>
            <w:hideMark/>
          </w:tcPr>
          <w:p w14:paraId="46D0DC6E" w14:textId="44884784" w:rsidR="00495F61" w:rsidRDefault="00495F61" w:rsidP="00495F61">
            <w:pPr>
              <w:spacing w:after="0"/>
            </w:pPr>
            <w:r>
              <w:t>Liam Henderson</w:t>
            </w:r>
          </w:p>
          <w:p w14:paraId="65C90DB8" w14:textId="7AB1CD61" w:rsidR="00495F61" w:rsidRPr="00596196" w:rsidRDefault="00495F61" w:rsidP="00495F61">
            <w:pPr>
              <w:spacing w:after="0"/>
            </w:pPr>
            <w:r>
              <w:t>Senior Civil Drafter</w:t>
            </w:r>
          </w:p>
        </w:tc>
        <w:tc>
          <w:tcPr>
            <w:tcW w:w="0" w:type="auto"/>
            <w:tcBorders>
              <w:top w:val="single" w:sz="6" w:space="0" w:color="1A365D"/>
              <w:left w:val="single" w:sz="6" w:space="0" w:color="CBD5E0"/>
              <w:bottom w:val="single" w:sz="6" w:space="0" w:color="CBD5E0"/>
              <w:right w:val="single" w:sz="6" w:space="0" w:color="CBD5E0"/>
            </w:tcBorders>
            <w:tcMar>
              <w:top w:w="150" w:type="dxa"/>
              <w:left w:w="150" w:type="dxa"/>
              <w:bottom w:w="150" w:type="dxa"/>
              <w:right w:w="150" w:type="dxa"/>
            </w:tcMar>
            <w:hideMark/>
          </w:tcPr>
          <w:p w14:paraId="6D204B12" w14:textId="07965B06" w:rsidR="00495F61" w:rsidRPr="00596196" w:rsidRDefault="00495F61" w:rsidP="00495F61">
            <w:pPr>
              <w:spacing w:after="0"/>
            </w:pPr>
            <w:r>
              <w:t>Potential</w:t>
            </w:r>
          </w:p>
        </w:tc>
        <w:tc>
          <w:tcPr>
            <w:tcW w:w="0" w:type="auto"/>
            <w:tcBorders>
              <w:top w:val="single" w:sz="6" w:space="0" w:color="1A365D"/>
              <w:left w:val="single" w:sz="6" w:space="0" w:color="CBD5E0"/>
              <w:bottom w:val="single" w:sz="6" w:space="0" w:color="CBD5E0"/>
              <w:right w:val="single" w:sz="6" w:space="0" w:color="CBD5E0"/>
            </w:tcBorders>
          </w:tcPr>
          <w:p w14:paraId="4CEC98BC" w14:textId="582A70E7" w:rsidR="00495F61" w:rsidRPr="00596196" w:rsidRDefault="00495F61" w:rsidP="00495F61">
            <w:pPr>
              <w:spacing w:after="0"/>
            </w:pPr>
            <w:r>
              <w:t>Declarant acts as an external industry training</w:t>
            </w:r>
            <w:r>
              <w:t xml:space="preserve"> </w:t>
            </w:r>
            <w:r>
              <w:t>curriculum reviewer for an engineering graphics</w:t>
            </w:r>
            <w:r>
              <w:t xml:space="preserve"> </w:t>
            </w:r>
            <w:r>
              <w:t>software firm offering third-party plugins.</w:t>
            </w:r>
          </w:p>
        </w:tc>
        <w:tc>
          <w:tcPr>
            <w:tcW w:w="0" w:type="auto"/>
            <w:tcBorders>
              <w:top w:val="single" w:sz="6" w:space="0" w:color="1A365D"/>
              <w:left w:val="single" w:sz="6" w:space="0" w:color="CBD5E0"/>
              <w:bottom w:val="single" w:sz="6" w:space="0" w:color="CBD5E0"/>
              <w:right w:val="single" w:sz="6" w:space="0" w:color="CBD5E0"/>
            </w:tcBorders>
          </w:tcPr>
          <w:p w14:paraId="33594CD4" w14:textId="77777777" w:rsidR="00495F61" w:rsidRDefault="00495F61" w:rsidP="00495F61">
            <w:pPr>
              <w:spacing w:after="0"/>
            </w:pPr>
            <w:r>
              <w:t>CAD Workspace Standards &amp; Digital</w:t>
            </w:r>
          </w:p>
          <w:p w14:paraId="5FF92C88" w14:textId="03E526ED" w:rsidR="00495F61" w:rsidRPr="00596196" w:rsidRDefault="00495F61" w:rsidP="00495F61">
            <w:pPr>
              <w:spacing w:after="0"/>
            </w:pPr>
            <w:r>
              <w:t>Drawing Suite Procurement</w:t>
            </w:r>
          </w:p>
        </w:tc>
        <w:tc>
          <w:tcPr>
            <w:tcW w:w="0" w:type="auto"/>
            <w:tcBorders>
              <w:top w:val="single" w:sz="6" w:space="0" w:color="1A365D"/>
              <w:left w:val="single" w:sz="6" w:space="0" w:color="CBD5E0"/>
              <w:bottom w:val="single" w:sz="6" w:space="0" w:color="CBD5E0"/>
              <w:right w:val="single" w:sz="6" w:space="0" w:color="CBD5E0"/>
            </w:tcBorders>
          </w:tcPr>
          <w:p w14:paraId="1C644521" w14:textId="2590DD5E" w:rsidR="00495F61" w:rsidRPr="00596196" w:rsidRDefault="00495F61" w:rsidP="00495F61">
            <w:pPr>
              <w:spacing w:after="0"/>
            </w:pPr>
            <w:r>
              <w:t>Declarant must recuse themselves from any</w:t>
            </w:r>
            <w:r>
              <w:t xml:space="preserve"> </w:t>
            </w:r>
            <w:r>
              <w:t>internal software evaluation panels or plugin</w:t>
            </w:r>
            <w:r>
              <w:t xml:space="preserve"> </w:t>
            </w:r>
            <w:r>
              <w:t>procurement recommendations for Velocity Civil.</w:t>
            </w:r>
          </w:p>
        </w:tc>
      </w:tr>
      <w:tr w:rsidR="005E04A1" w:rsidRPr="00486B1A" w14:paraId="2E5E1689" w14:textId="466960C2" w:rsidTr="00EC7231">
        <w:trPr>
          <w:trHeight w:val="1304"/>
        </w:trPr>
        <w:tc>
          <w:tcPr>
            <w:tcW w:w="0" w:type="auto"/>
            <w:tcBorders>
              <w:top w:val="single" w:sz="6" w:space="0" w:color="CBD5E0"/>
              <w:left w:val="single" w:sz="6" w:space="0" w:color="CBD5E0"/>
              <w:bottom w:val="single" w:sz="6" w:space="0" w:color="CBD5E0"/>
              <w:right w:val="single" w:sz="6" w:space="0" w:color="CBD5E0"/>
            </w:tcBorders>
            <w:tcMar>
              <w:top w:w="150" w:type="dxa"/>
              <w:left w:w="150" w:type="dxa"/>
              <w:bottom w:w="150" w:type="dxa"/>
              <w:right w:w="150" w:type="dxa"/>
            </w:tcMar>
          </w:tcPr>
          <w:p w14:paraId="3BB5BDCB" w14:textId="30E5A925" w:rsidR="005E04A1" w:rsidRPr="00596196" w:rsidRDefault="005E04A1" w:rsidP="00495F61">
            <w:pPr>
              <w:spacing w:after="0"/>
            </w:pPr>
            <w:r w:rsidRPr="00596196">
              <w:t>002</w:t>
            </w:r>
          </w:p>
        </w:tc>
        <w:tc>
          <w:tcPr>
            <w:tcW w:w="0" w:type="auto"/>
            <w:tcBorders>
              <w:top w:val="single" w:sz="6" w:space="0" w:color="CBD5E0"/>
              <w:left w:val="single" w:sz="6" w:space="0" w:color="CBD5E0"/>
              <w:bottom w:val="single" w:sz="6" w:space="0" w:color="CBD5E0"/>
              <w:right w:val="single" w:sz="6" w:space="0" w:color="CBD5E0"/>
            </w:tcBorders>
            <w:tcMar>
              <w:top w:w="150" w:type="dxa"/>
              <w:left w:w="150" w:type="dxa"/>
              <w:bottom w:w="150" w:type="dxa"/>
              <w:right w:w="150" w:type="dxa"/>
            </w:tcMar>
          </w:tcPr>
          <w:p w14:paraId="68FED10E" w14:textId="77777777" w:rsidR="005E04A1" w:rsidRDefault="00F927C3" w:rsidP="00495F61">
            <w:pPr>
              <w:spacing w:after="0"/>
            </w:pPr>
            <w:r>
              <w:t>Julian Mercer</w:t>
            </w:r>
          </w:p>
          <w:p w14:paraId="463EE512" w14:textId="0BEBD9C2" w:rsidR="00F927C3" w:rsidRPr="00596196" w:rsidRDefault="00F927C3" w:rsidP="00495F61">
            <w:pPr>
              <w:spacing w:after="0"/>
            </w:pPr>
            <w:r>
              <w:t>Contracts Administrator</w:t>
            </w:r>
          </w:p>
        </w:tc>
        <w:tc>
          <w:tcPr>
            <w:tcW w:w="0" w:type="auto"/>
            <w:tcBorders>
              <w:top w:val="single" w:sz="6" w:space="0" w:color="CBD5E0"/>
              <w:left w:val="single" w:sz="6" w:space="0" w:color="CBD5E0"/>
              <w:bottom w:val="single" w:sz="6" w:space="0" w:color="CBD5E0"/>
              <w:right w:val="single" w:sz="6" w:space="0" w:color="CBD5E0"/>
            </w:tcBorders>
            <w:tcMar>
              <w:top w:w="150" w:type="dxa"/>
              <w:left w:w="150" w:type="dxa"/>
              <w:bottom w:w="150" w:type="dxa"/>
              <w:right w:w="150" w:type="dxa"/>
            </w:tcMar>
            <w:hideMark/>
          </w:tcPr>
          <w:p w14:paraId="75E6B296" w14:textId="5765BB26" w:rsidR="005E04A1" w:rsidRPr="00596196" w:rsidRDefault="00F927C3" w:rsidP="00495F61">
            <w:pPr>
              <w:spacing w:after="0"/>
            </w:pPr>
            <w:r>
              <w:t>Actual</w:t>
            </w:r>
          </w:p>
        </w:tc>
        <w:tc>
          <w:tcPr>
            <w:tcW w:w="0" w:type="auto"/>
            <w:tcBorders>
              <w:top w:val="single" w:sz="6" w:space="0" w:color="CBD5E0"/>
              <w:left w:val="single" w:sz="6" w:space="0" w:color="CBD5E0"/>
              <w:bottom w:val="single" w:sz="6" w:space="0" w:color="CBD5E0"/>
              <w:right w:val="single" w:sz="6" w:space="0" w:color="CBD5E0"/>
            </w:tcBorders>
          </w:tcPr>
          <w:p w14:paraId="258B69D4" w14:textId="3EBC595E" w:rsidR="004E2440" w:rsidRDefault="004E2440" w:rsidP="00495F61">
            <w:pPr>
              <w:spacing w:after="0"/>
            </w:pPr>
            <w:r>
              <w:t>Declarant's domestic partner is an equity partner</w:t>
            </w:r>
            <w:r w:rsidR="00495F61">
              <w:t xml:space="preserve"> </w:t>
            </w:r>
            <w:r>
              <w:t>at a legal firm speciali</w:t>
            </w:r>
            <w:r w:rsidR="00495F61">
              <w:t>s</w:t>
            </w:r>
            <w:r>
              <w:t>ing in industrial</w:t>
            </w:r>
          </w:p>
          <w:p w14:paraId="6935A76D" w14:textId="5ABD3F5E" w:rsidR="005E04A1" w:rsidRPr="00596196" w:rsidRDefault="004E2440" w:rsidP="00495F61">
            <w:pPr>
              <w:spacing w:after="0"/>
            </w:pPr>
            <w:r>
              <w:t>construction disputes and commercial variations.</w:t>
            </w:r>
          </w:p>
        </w:tc>
        <w:tc>
          <w:tcPr>
            <w:tcW w:w="0" w:type="auto"/>
            <w:tcBorders>
              <w:top w:val="single" w:sz="6" w:space="0" w:color="CBD5E0"/>
              <w:left w:val="single" w:sz="6" w:space="0" w:color="CBD5E0"/>
              <w:bottom w:val="single" w:sz="6" w:space="0" w:color="CBD5E0"/>
              <w:right w:val="single" w:sz="6" w:space="0" w:color="CBD5E0"/>
            </w:tcBorders>
          </w:tcPr>
          <w:p w14:paraId="05175644" w14:textId="77777777" w:rsidR="00495F61" w:rsidRDefault="00495F61" w:rsidP="00495F61">
            <w:pPr>
              <w:spacing w:after="0"/>
            </w:pPr>
            <w:r>
              <w:t>Subcontractor Variations &amp; Head</w:t>
            </w:r>
          </w:p>
          <w:p w14:paraId="5ECA80E6" w14:textId="6B5521E0" w:rsidR="005E04A1" w:rsidRPr="00596196" w:rsidRDefault="00495F61" w:rsidP="00495F61">
            <w:pPr>
              <w:spacing w:after="0"/>
            </w:pPr>
            <w:r>
              <w:t>Contract Arbitration Reviews</w:t>
            </w:r>
          </w:p>
        </w:tc>
        <w:tc>
          <w:tcPr>
            <w:tcW w:w="0" w:type="auto"/>
            <w:tcBorders>
              <w:top w:val="single" w:sz="6" w:space="0" w:color="CBD5E0"/>
              <w:left w:val="single" w:sz="6" w:space="0" w:color="CBD5E0"/>
              <w:bottom w:val="single" w:sz="6" w:space="0" w:color="CBD5E0"/>
              <w:right w:val="single" w:sz="6" w:space="0" w:color="CBD5E0"/>
            </w:tcBorders>
          </w:tcPr>
          <w:p w14:paraId="4C417535" w14:textId="0761979E" w:rsidR="00495F61" w:rsidRDefault="00495F61" w:rsidP="00495F61">
            <w:pPr>
              <w:spacing w:after="0"/>
            </w:pPr>
            <w:r>
              <w:t>Declarant is walled off from any legal escalations</w:t>
            </w:r>
            <w:r>
              <w:t xml:space="preserve"> </w:t>
            </w:r>
            <w:r>
              <w:t>involving that specific firm. Any dispute reviews are</w:t>
            </w:r>
            <w:r>
              <w:t xml:space="preserve"> </w:t>
            </w:r>
            <w:r>
              <w:t>reassigned directly to the CFO or external</w:t>
            </w:r>
          </w:p>
          <w:p w14:paraId="53B1C3FF" w14:textId="063A5A1C" w:rsidR="005E04A1" w:rsidRPr="00596196" w:rsidRDefault="00495F61" w:rsidP="00495F61">
            <w:pPr>
              <w:spacing w:after="0"/>
            </w:pPr>
            <w:r>
              <w:t>corporate legal counsel.</w:t>
            </w:r>
          </w:p>
        </w:tc>
      </w:tr>
      <w:tr w:rsidR="005E04A1" w:rsidRPr="00486B1A" w14:paraId="1D0D81B0" w14:textId="24F1BAAD" w:rsidTr="00EC7231">
        <w:trPr>
          <w:trHeight w:val="1304"/>
        </w:trPr>
        <w:tc>
          <w:tcPr>
            <w:tcW w:w="0" w:type="auto"/>
            <w:tcBorders>
              <w:top w:val="single" w:sz="6" w:space="0" w:color="CBD5E0"/>
              <w:left w:val="single" w:sz="6" w:space="0" w:color="CBD5E0"/>
              <w:bottom w:val="single" w:sz="6" w:space="0" w:color="CBD5E0"/>
              <w:right w:val="single" w:sz="6" w:space="0" w:color="CBD5E0"/>
            </w:tcBorders>
            <w:tcMar>
              <w:top w:w="150" w:type="dxa"/>
              <w:left w:w="150" w:type="dxa"/>
              <w:bottom w:w="150" w:type="dxa"/>
              <w:right w:w="150" w:type="dxa"/>
            </w:tcMar>
          </w:tcPr>
          <w:p w14:paraId="6A934AED" w14:textId="7596C110" w:rsidR="005E04A1" w:rsidRPr="00596196" w:rsidRDefault="005E04A1" w:rsidP="00495F61">
            <w:pPr>
              <w:spacing w:after="0"/>
            </w:pPr>
            <w:r w:rsidRPr="00596196">
              <w:t>003</w:t>
            </w:r>
          </w:p>
        </w:tc>
        <w:tc>
          <w:tcPr>
            <w:tcW w:w="0" w:type="auto"/>
            <w:tcBorders>
              <w:top w:val="single" w:sz="6" w:space="0" w:color="CBD5E0"/>
              <w:left w:val="single" w:sz="6" w:space="0" w:color="CBD5E0"/>
              <w:bottom w:val="single" w:sz="6" w:space="0" w:color="CBD5E0"/>
              <w:right w:val="single" w:sz="6" w:space="0" w:color="CBD5E0"/>
            </w:tcBorders>
            <w:tcMar>
              <w:top w:w="150" w:type="dxa"/>
              <w:left w:w="150" w:type="dxa"/>
              <w:bottom w:w="150" w:type="dxa"/>
              <w:right w:w="150" w:type="dxa"/>
            </w:tcMar>
            <w:hideMark/>
          </w:tcPr>
          <w:p w14:paraId="3062850F" w14:textId="77777777" w:rsidR="00F927C3" w:rsidRDefault="00F927C3" w:rsidP="00495F61">
            <w:pPr>
              <w:spacing w:after="0"/>
            </w:pPr>
            <w:r>
              <w:t>Sophia Moreno</w:t>
            </w:r>
          </w:p>
          <w:p w14:paraId="2FAE590A" w14:textId="7B3C0AF0" w:rsidR="00F927C3" w:rsidRPr="00596196" w:rsidRDefault="00F927C3" w:rsidP="00495F61">
            <w:pPr>
              <w:spacing w:after="0"/>
            </w:pPr>
            <w:r>
              <w:t>Project Engineer</w:t>
            </w:r>
          </w:p>
        </w:tc>
        <w:tc>
          <w:tcPr>
            <w:tcW w:w="0" w:type="auto"/>
            <w:tcBorders>
              <w:top w:val="single" w:sz="6" w:space="0" w:color="CBD5E0"/>
              <w:left w:val="single" w:sz="6" w:space="0" w:color="CBD5E0"/>
              <w:bottom w:val="single" w:sz="6" w:space="0" w:color="CBD5E0"/>
              <w:right w:val="single" w:sz="6" w:space="0" w:color="CBD5E0"/>
            </w:tcBorders>
            <w:tcMar>
              <w:top w:w="150" w:type="dxa"/>
              <w:left w:w="150" w:type="dxa"/>
              <w:bottom w:w="150" w:type="dxa"/>
              <w:right w:w="150" w:type="dxa"/>
            </w:tcMar>
            <w:hideMark/>
          </w:tcPr>
          <w:p w14:paraId="4E9AA089" w14:textId="75A75AD5" w:rsidR="005E04A1" w:rsidRPr="00596196" w:rsidRDefault="00F927C3" w:rsidP="00495F61">
            <w:pPr>
              <w:spacing w:after="0"/>
            </w:pPr>
            <w:r>
              <w:t>Perceived</w:t>
            </w:r>
          </w:p>
        </w:tc>
        <w:tc>
          <w:tcPr>
            <w:tcW w:w="0" w:type="auto"/>
            <w:tcBorders>
              <w:top w:val="single" w:sz="6" w:space="0" w:color="CBD5E0"/>
              <w:left w:val="single" w:sz="6" w:space="0" w:color="CBD5E0"/>
              <w:bottom w:val="single" w:sz="6" w:space="0" w:color="CBD5E0"/>
              <w:right w:val="single" w:sz="6" w:space="0" w:color="CBD5E0"/>
            </w:tcBorders>
          </w:tcPr>
          <w:p w14:paraId="58D6A537" w14:textId="409C53A6" w:rsidR="004E2440" w:rsidRDefault="004E2440" w:rsidP="00495F61">
            <w:pPr>
              <w:spacing w:after="0"/>
            </w:pPr>
            <w:r>
              <w:t>Declarant's sibling is a principal environmental</w:t>
            </w:r>
            <w:r w:rsidR="00495F61">
              <w:t xml:space="preserve"> </w:t>
            </w:r>
            <w:r>
              <w:t>land-use planner at a primary state development</w:t>
            </w:r>
          </w:p>
          <w:p w14:paraId="7E0C416D" w14:textId="3D8D03BA" w:rsidR="005E04A1" w:rsidRPr="00596196" w:rsidRDefault="004E2440" w:rsidP="00495F61">
            <w:pPr>
              <w:spacing w:after="0"/>
            </w:pPr>
            <w:r>
              <w:t>regulatory authority.</w:t>
            </w:r>
          </w:p>
        </w:tc>
        <w:tc>
          <w:tcPr>
            <w:tcW w:w="0" w:type="auto"/>
            <w:tcBorders>
              <w:top w:val="single" w:sz="6" w:space="0" w:color="CBD5E0"/>
              <w:left w:val="single" w:sz="6" w:space="0" w:color="CBD5E0"/>
              <w:bottom w:val="single" w:sz="6" w:space="0" w:color="CBD5E0"/>
              <w:right w:val="single" w:sz="6" w:space="0" w:color="CBD5E0"/>
            </w:tcBorders>
          </w:tcPr>
          <w:p w14:paraId="49B84AB8" w14:textId="77777777" w:rsidR="00495F61" w:rsidRDefault="00495F61" w:rsidP="00495F61">
            <w:pPr>
              <w:spacing w:after="0"/>
            </w:pPr>
            <w:r>
              <w:t>Civil Planning Clearances &amp;</w:t>
            </w:r>
          </w:p>
          <w:p w14:paraId="11C842CC" w14:textId="3E176370" w:rsidR="005E04A1" w:rsidRPr="00596196" w:rsidRDefault="00495F61" w:rsidP="00495F61">
            <w:pPr>
              <w:spacing w:after="0"/>
            </w:pPr>
            <w:r>
              <w:t>Environmental Work Permits</w:t>
            </w:r>
          </w:p>
        </w:tc>
        <w:tc>
          <w:tcPr>
            <w:tcW w:w="0" w:type="auto"/>
            <w:tcBorders>
              <w:top w:val="single" w:sz="6" w:space="0" w:color="CBD5E0"/>
              <w:left w:val="single" w:sz="6" w:space="0" w:color="CBD5E0"/>
              <w:bottom w:val="single" w:sz="6" w:space="0" w:color="CBD5E0"/>
              <w:right w:val="single" w:sz="6" w:space="0" w:color="CBD5E0"/>
            </w:tcBorders>
          </w:tcPr>
          <w:p w14:paraId="689351DE" w14:textId="22E0D3EA" w:rsidR="005E04A1" w:rsidRPr="00596196" w:rsidRDefault="00495F61" w:rsidP="00495F61">
            <w:pPr>
              <w:spacing w:after="0"/>
            </w:pPr>
            <w:r>
              <w:t>All permit submissions, environmental impact</w:t>
            </w:r>
            <w:r>
              <w:t xml:space="preserve"> </w:t>
            </w:r>
            <w:r>
              <w:t>statement audits, and regulatory correspondence</w:t>
            </w:r>
            <w:r>
              <w:t xml:space="preserve"> </w:t>
            </w:r>
            <w:r>
              <w:t>must be routed through the WHSE Manager.</w:t>
            </w:r>
          </w:p>
        </w:tc>
      </w:tr>
      <w:tr w:rsidR="005E04A1" w:rsidRPr="00486B1A" w14:paraId="6FA1BA6C" w14:textId="2B46F4BD" w:rsidTr="00EC7231">
        <w:trPr>
          <w:trHeight w:val="1304"/>
        </w:trPr>
        <w:tc>
          <w:tcPr>
            <w:tcW w:w="0" w:type="auto"/>
            <w:tcBorders>
              <w:top w:val="single" w:sz="6" w:space="0" w:color="CBD5E0"/>
              <w:left w:val="single" w:sz="6" w:space="0" w:color="CBD5E0"/>
              <w:bottom w:val="single" w:sz="6" w:space="0" w:color="CBD5E0"/>
              <w:right w:val="single" w:sz="6" w:space="0" w:color="CBD5E0"/>
            </w:tcBorders>
            <w:tcMar>
              <w:top w:w="150" w:type="dxa"/>
              <w:left w:w="150" w:type="dxa"/>
              <w:bottom w:w="150" w:type="dxa"/>
              <w:right w:w="150" w:type="dxa"/>
            </w:tcMar>
          </w:tcPr>
          <w:p w14:paraId="2A34EF37" w14:textId="64ABFD97" w:rsidR="005E04A1" w:rsidRPr="00596196" w:rsidRDefault="005E04A1" w:rsidP="00495F61">
            <w:pPr>
              <w:spacing w:after="0"/>
            </w:pPr>
          </w:p>
        </w:tc>
        <w:tc>
          <w:tcPr>
            <w:tcW w:w="0" w:type="auto"/>
            <w:tcBorders>
              <w:top w:val="single" w:sz="6" w:space="0" w:color="CBD5E0"/>
              <w:left w:val="single" w:sz="6" w:space="0" w:color="CBD5E0"/>
              <w:bottom w:val="single" w:sz="6" w:space="0" w:color="CBD5E0"/>
              <w:right w:val="single" w:sz="6" w:space="0" w:color="CBD5E0"/>
            </w:tcBorders>
            <w:tcMar>
              <w:top w:w="150" w:type="dxa"/>
              <w:left w:w="150" w:type="dxa"/>
              <w:bottom w:w="150" w:type="dxa"/>
              <w:right w:w="150" w:type="dxa"/>
            </w:tcMar>
          </w:tcPr>
          <w:p w14:paraId="4BC9E640" w14:textId="5C953F58" w:rsidR="005E04A1" w:rsidRPr="00596196" w:rsidRDefault="005E04A1" w:rsidP="00495F61">
            <w:pPr>
              <w:spacing w:after="0"/>
            </w:pPr>
          </w:p>
        </w:tc>
        <w:tc>
          <w:tcPr>
            <w:tcW w:w="0" w:type="auto"/>
            <w:tcBorders>
              <w:top w:val="single" w:sz="6" w:space="0" w:color="CBD5E0"/>
              <w:left w:val="single" w:sz="6" w:space="0" w:color="CBD5E0"/>
              <w:bottom w:val="single" w:sz="6" w:space="0" w:color="CBD5E0"/>
              <w:right w:val="single" w:sz="6" w:space="0" w:color="CBD5E0"/>
            </w:tcBorders>
            <w:tcMar>
              <w:top w:w="150" w:type="dxa"/>
              <w:left w:w="150" w:type="dxa"/>
              <w:bottom w:w="150" w:type="dxa"/>
              <w:right w:w="150" w:type="dxa"/>
            </w:tcMar>
          </w:tcPr>
          <w:p w14:paraId="1B92F3DA" w14:textId="77C50672" w:rsidR="005E04A1" w:rsidRPr="00596196" w:rsidRDefault="005E04A1" w:rsidP="00495F61">
            <w:pPr>
              <w:spacing w:after="0"/>
            </w:pPr>
          </w:p>
        </w:tc>
        <w:tc>
          <w:tcPr>
            <w:tcW w:w="0" w:type="auto"/>
            <w:tcBorders>
              <w:top w:val="single" w:sz="6" w:space="0" w:color="CBD5E0"/>
              <w:left w:val="single" w:sz="6" w:space="0" w:color="CBD5E0"/>
              <w:bottom w:val="single" w:sz="6" w:space="0" w:color="CBD5E0"/>
              <w:right w:val="single" w:sz="6" w:space="0" w:color="CBD5E0"/>
            </w:tcBorders>
          </w:tcPr>
          <w:p w14:paraId="1A7F40B0" w14:textId="28664DD7" w:rsidR="005E04A1" w:rsidRPr="00596196" w:rsidRDefault="005E04A1" w:rsidP="00495F61">
            <w:pPr>
              <w:spacing w:after="0"/>
            </w:pPr>
          </w:p>
        </w:tc>
        <w:tc>
          <w:tcPr>
            <w:tcW w:w="0" w:type="auto"/>
            <w:tcBorders>
              <w:top w:val="single" w:sz="6" w:space="0" w:color="CBD5E0"/>
              <w:left w:val="single" w:sz="6" w:space="0" w:color="CBD5E0"/>
              <w:bottom w:val="single" w:sz="6" w:space="0" w:color="CBD5E0"/>
              <w:right w:val="single" w:sz="6" w:space="0" w:color="CBD5E0"/>
            </w:tcBorders>
          </w:tcPr>
          <w:p w14:paraId="1C8B1BD6" w14:textId="2EC721BE" w:rsidR="005E04A1" w:rsidRPr="00596196" w:rsidRDefault="005E04A1" w:rsidP="00495F61">
            <w:pPr>
              <w:spacing w:after="0"/>
            </w:pPr>
          </w:p>
        </w:tc>
        <w:tc>
          <w:tcPr>
            <w:tcW w:w="0" w:type="auto"/>
            <w:tcBorders>
              <w:top w:val="single" w:sz="6" w:space="0" w:color="CBD5E0"/>
              <w:left w:val="single" w:sz="6" w:space="0" w:color="CBD5E0"/>
              <w:bottom w:val="single" w:sz="6" w:space="0" w:color="CBD5E0"/>
              <w:right w:val="single" w:sz="6" w:space="0" w:color="CBD5E0"/>
            </w:tcBorders>
          </w:tcPr>
          <w:p w14:paraId="5C27B78C" w14:textId="0BCF67A0" w:rsidR="005E04A1" w:rsidRPr="00596196" w:rsidRDefault="005E04A1" w:rsidP="00495F61">
            <w:pPr>
              <w:spacing w:after="0"/>
            </w:pPr>
          </w:p>
        </w:tc>
      </w:tr>
      <w:tr w:rsidR="005E04A1" w:rsidRPr="00486B1A" w14:paraId="608FB11F" w14:textId="77777777" w:rsidTr="00EC7231">
        <w:trPr>
          <w:trHeight w:val="1304"/>
        </w:trPr>
        <w:tc>
          <w:tcPr>
            <w:tcW w:w="0" w:type="auto"/>
            <w:tcBorders>
              <w:top w:val="single" w:sz="6" w:space="0" w:color="CBD5E0"/>
              <w:left w:val="single" w:sz="6" w:space="0" w:color="CBD5E0"/>
              <w:bottom w:val="single" w:sz="6" w:space="0" w:color="CBD5E0"/>
              <w:right w:val="single" w:sz="6" w:space="0" w:color="CBD5E0"/>
            </w:tcBorders>
            <w:tcMar>
              <w:top w:w="150" w:type="dxa"/>
              <w:left w:w="150" w:type="dxa"/>
              <w:bottom w:w="150" w:type="dxa"/>
              <w:right w:w="150" w:type="dxa"/>
            </w:tcMar>
          </w:tcPr>
          <w:p w14:paraId="724B7D24" w14:textId="5EB87B0F" w:rsidR="005E04A1" w:rsidRPr="00596196" w:rsidRDefault="005E04A1" w:rsidP="00495F61">
            <w:pPr>
              <w:spacing w:after="0"/>
            </w:pPr>
          </w:p>
        </w:tc>
        <w:tc>
          <w:tcPr>
            <w:tcW w:w="0" w:type="auto"/>
            <w:tcBorders>
              <w:top w:val="single" w:sz="6" w:space="0" w:color="CBD5E0"/>
              <w:left w:val="single" w:sz="6" w:space="0" w:color="CBD5E0"/>
              <w:bottom w:val="single" w:sz="6" w:space="0" w:color="CBD5E0"/>
              <w:right w:val="single" w:sz="6" w:space="0" w:color="CBD5E0"/>
            </w:tcBorders>
            <w:tcMar>
              <w:top w:w="150" w:type="dxa"/>
              <w:left w:w="150" w:type="dxa"/>
              <w:bottom w:w="150" w:type="dxa"/>
              <w:right w:w="150" w:type="dxa"/>
            </w:tcMar>
          </w:tcPr>
          <w:p w14:paraId="550CC164" w14:textId="2F9ABFAF" w:rsidR="005E04A1" w:rsidRPr="00596196" w:rsidRDefault="005E04A1" w:rsidP="00495F61">
            <w:pPr>
              <w:spacing w:after="0"/>
            </w:pPr>
          </w:p>
        </w:tc>
        <w:tc>
          <w:tcPr>
            <w:tcW w:w="0" w:type="auto"/>
            <w:tcBorders>
              <w:top w:val="single" w:sz="6" w:space="0" w:color="CBD5E0"/>
              <w:left w:val="single" w:sz="6" w:space="0" w:color="CBD5E0"/>
              <w:bottom w:val="single" w:sz="6" w:space="0" w:color="CBD5E0"/>
              <w:right w:val="single" w:sz="6" w:space="0" w:color="CBD5E0"/>
            </w:tcBorders>
            <w:tcMar>
              <w:top w:w="150" w:type="dxa"/>
              <w:left w:w="150" w:type="dxa"/>
              <w:bottom w:w="150" w:type="dxa"/>
              <w:right w:w="150" w:type="dxa"/>
            </w:tcMar>
          </w:tcPr>
          <w:p w14:paraId="65640825" w14:textId="33145F5A" w:rsidR="005E04A1" w:rsidRPr="00596196" w:rsidRDefault="005E04A1" w:rsidP="00495F61">
            <w:pPr>
              <w:spacing w:after="0"/>
            </w:pPr>
          </w:p>
        </w:tc>
        <w:tc>
          <w:tcPr>
            <w:tcW w:w="0" w:type="auto"/>
            <w:tcBorders>
              <w:top w:val="single" w:sz="6" w:space="0" w:color="CBD5E0"/>
              <w:left w:val="single" w:sz="6" w:space="0" w:color="CBD5E0"/>
              <w:bottom w:val="single" w:sz="6" w:space="0" w:color="CBD5E0"/>
              <w:right w:val="single" w:sz="6" w:space="0" w:color="CBD5E0"/>
            </w:tcBorders>
          </w:tcPr>
          <w:p w14:paraId="49996615" w14:textId="63EDC110" w:rsidR="005E04A1" w:rsidRPr="00596196" w:rsidRDefault="005E04A1" w:rsidP="00495F61">
            <w:pPr>
              <w:spacing w:after="0"/>
            </w:pPr>
          </w:p>
        </w:tc>
        <w:tc>
          <w:tcPr>
            <w:tcW w:w="0" w:type="auto"/>
            <w:tcBorders>
              <w:top w:val="single" w:sz="6" w:space="0" w:color="CBD5E0"/>
              <w:left w:val="single" w:sz="6" w:space="0" w:color="CBD5E0"/>
              <w:bottom w:val="single" w:sz="6" w:space="0" w:color="CBD5E0"/>
              <w:right w:val="single" w:sz="6" w:space="0" w:color="CBD5E0"/>
            </w:tcBorders>
          </w:tcPr>
          <w:p w14:paraId="1CEE0A06" w14:textId="05B3F5EA" w:rsidR="005E04A1" w:rsidRPr="00596196" w:rsidRDefault="005E04A1" w:rsidP="00495F61">
            <w:pPr>
              <w:spacing w:after="0"/>
            </w:pPr>
          </w:p>
        </w:tc>
        <w:tc>
          <w:tcPr>
            <w:tcW w:w="0" w:type="auto"/>
            <w:tcBorders>
              <w:top w:val="single" w:sz="6" w:space="0" w:color="CBD5E0"/>
              <w:left w:val="single" w:sz="6" w:space="0" w:color="CBD5E0"/>
              <w:bottom w:val="single" w:sz="6" w:space="0" w:color="CBD5E0"/>
              <w:right w:val="single" w:sz="6" w:space="0" w:color="CBD5E0"/>
            </w:tcBorders>
          </w:tcPr>
          <w:p w14:paraId="73034C36" w14:textId="352C75E7" w:rsidR="005E04A1" w:rsidRPr="00596196" w:rsidRDefault="005E04A1" w:rsidP="00495F61">
            <w:pPr>
              <w:spacing w:after="0"/>
            </w:pPr>
          </w:p>
        </w:tc>
      </w:tr>
      <w:tr w:rsidR="005E04A1" w:rsidRPr="00486B1A" w14:paraId="75A5C8A5" w14:textId="77777777" w:rsidTr="00EC7231">
        <w:trPr>
          <w:trHeight w:val="1304"/>
        </w:trPr>
        <w:tc>
          <w:tcPr>
            <w:tcW w:w="0" w:type="auto"/>
            <w:tcBorders>
              <w:top w:val="single" w:sz="6" w:space="0" w:color="CBD5E0"/>
              <w:left w:val="single" w:sz="6" w:space="0" w:color="CBD5E0"/>
              <w:bottom w:val="single" w:sz="6" w:space="0" w:color="CBD5E0"/>
              <w:right w:val="single" w:sz="6" w:space="0" w:color="CBD5E0"/>
            </w:tcBorders>
            <w:tcMar>
              <w:top w:w="150" w:type="dxa"/>
              <w:left w:w="150" w:type="dxa"/>
              <w:bottom w:w="150" w:type="dxa"/>
              <w:right w:w="150" w:type="dxa"/>
            </w:tcMar>
          </w:tcPr>
          <w:p w14:paraId="39B0FBD2" w14:textId="1825422D" w:rsidR="005E04A1" w:rsidRPr="00596196" w:rsidRDefault="005E04A1" w:rsidP="00495F61">
            <w:pPr>
              <w:spacing w:after="0"/>
            </w:pPr>
          </w:p>
        </w:tc>
        <w:tc>
          <w:tcPr>
            <w:tcW w:w="0" w:type="auto"/>
            <w:tcBorders>
              <w:top w:val="single" w:sz="6" w:space="0" w:color="CBD5E0"/>
              <w:left w:val="single" w:sz="6" w:space="0" w:color="CBD5E0"/>
              <w:bottom w:val="single" w:sz="6" w:space="0" w:color="CBD5E0"/>
              <w:right w:val="single" w:sz="6" w:space="0" w:color="CBD5E0"/>
            </w:tcBorders>
            <w:tcMar>
              <w:top w:w="150" w:type="dxa"/>
              <w:left w:w="150" w:type="dxa"/>
              <w:bottom w:w="150" w:type="dxa"/>
              <w:right w:w="150" w:type="dxa"/>
            </w:tcMar>
          </w:tcPr>
          <w:p w14:paraId="55B9743D" w14:textId="73E7A155" w:rsidR="005E04A1" w:rsidRPr="00596196" w:rsidRDefault="005E04A1" w:rsidP="00495F61">
            <w:pPr>
              <w:spacing w:after="0"/>
            </w:pPr>
          </w:p>
        </w:tc>
        <w:tc>
          <w:tcPr>
            <w:tcW w:w="0" w:type="auto"/>
            <w:tcBorders>
              <w:top w:val="single" w:sz="6" w:space="0" w:color="CBD5E0"/>
              <w:left w:val="single" w:sz="6" w:space="0" w:color="CBD5E0"/>
              <w:bottom w:val="single" w:sz="6" w:space="0" w:color="CBD5E0"/>
              <w:right w:val="single" w:sz="6" w:space="0" w:color="CBD5E0"/>
            </w:tcBorders>
            <w:tcMar>
              <w:top w:w="150" w:type="dxa"/>
              <w:left w:w="150" w:type="dxa"/>
              <w:bottom w:w="150" w:type="dxa"/>
              <w:right w:w="150" w:type="dxa"/>
            </w:tcMar>
          </w:tcPr>
          <w:p w14:paraId="46AD36E7" w14:textId="39C5CA1E" w:rsidR="005E04A1" w:rsidRPr="00596196" w:rsidRDefault="005E04A1" w:rsidP="00495F61">
            <w:pPr>
              <w:spacing w:after="0"/>
            </w:pPr>
          </w:p>
        </w:tc>
        <w:tc>
          <w:tcPr>
            <w:tcW w:w="0" w:type="auto"/>
            <w:tcBorders>
              <w:top w:val="single" w:sz="6" w:space="0" w:color="CBD5E0"/>
              <w:left w:val="single" w:sz="6" w:space="0" w:color="CBD5E0"/>
              <w:bottom w:val="single" w:sz="6" w:space="0" w:color="CBD5E0"/>
              <w:right w:val="single" w:sz="6" w:space="0" w:color="CBD5E0"/>
            </w:tcBorders>
          </w:tcPr>
          <w:p w14:paraId="7E202796" w14:textId="2A23C83E" w:rsidR="005E04A1" w:rsidRPr="00596196" w:rsidRDefault="005E04A1" w:rsidP="00495F61">
            <w:pPr>
              <w:spacing w:after="0"/>
            </w:pPr>
          </w:p>
        </w:tc>
        <w:tc>
          <w:tcPr>
            <w:tcW w:w="0" w:type="auto"/>
            <w:tcBorders>
              <w:top w:val="single" w:sz="6" w:space="0" w:color="CBD5E0"/>
              <w:left w:val="single" w:sz="6" w:space="0" w:color="CBD5E0"/>
              <w:bottom w:val="single" w:sz="6" w:space="0" w:color="CBD5E0"/>
              <w:right w:val="single" w:sz="6" w:space="0" w:color="CBD5E0"/>
            </w:tcBorders>
          </w:tcPr>
          <w:p w14:paraId="329BA65F" w14:textId="04396D53" w:rsidR="005E04A1" w:rsidRPr="00596196" w:rsidRDefault="005E04A1" w:rsidP="00495F61">
            <w:pPr>
              <w:spacing w:after="0"/>
            </w:pPr>
          </w:p>
        </w:tc>
        <w:tc>
          <w:tcPr>
            <w:tcW w:w="0" w:type="auto"/>
            <w:tcBorders>
              <w:top w:val="single" w:sz="6" w:space="0" w:color="CBD5E0"/>
              <w:left w:val="single" w:sz="6" w:space="0" w:color="CBD5E0"/>
              <w:bottom w:val="single" w:sz="6" w:space="0" w:color="CBD5E0"/>
              <w:right w:val="single" w:sz="6" w:space="0" w:color="CBD5E0"/>
            </w:tcBorders>
          </w:tcPr>
          <w:p w14:paraId="184A4E2D" w14:textId="6655CA29" w:rsidR="005E04A1" w:rsidRPr="00596196" w:rsidRDefault="005E04A1" w:rsidP="00495F61">
            <w:pPr>
              <w:spacing w:after="0"/>
            </w:pPr>
          </w:p>
        </w:tc>
      </w:tr>
    </w:tbl>
    <w:p w14:paraId="696CB002" w14:textId="77777777" w:rsidR="00C70351" w:rsidRDefault="00C70351" w:rsidP="00C92928">
      <w:pPr>
        <w:pStyle w:val="Heading2"/>
      </w:pPr>
    </w:p>
    <w:sectPr w:rsidR="00C70351" w:rsidSect="00495F61">
      <w:headerReference w:type="default" r:id="rId7"/>
      <w:footerReference w:type="default" r:id="rId8"/>
      <w:pgSz w:w="16838" w:h="11906" w:orient="landscape"/>
      <w:pgMar w:top="1440" w:right="1701" w:bottom="1440" w:left="144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1B3C" w14:textId="77777777" w:rsidR="00AA52DD" w:rsidRDefault="00AA52DD" w:rsidP="00486B1A">
      <w:pPr>
        <w:spacing w:after="0" w:line="240" w:lineRule="auto"/>
      </w:pPr>
      <w:r>
        <w:separator/>
      </w:r>
    </w:p>
  </w:endnote>
  <w:endnote w:type="continuationSeparator" w:id="0">
    <w:p w14:paraId="7C9CA9DA" w14:textId="77777777" w:rsidR="00AA52DD" w:rsidRDefault="00AA52DD" w:rsidP="0048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bel">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5E0F" w14:textId="580D74C7" w:rsidR="00486B1A" w:rsidRPr="009F07AA" w:rsidRDefault="00AA52DD" w:rsidP="00486B1A">
    <w:pPr>
      <w:pStyle w:val="Footer"/>
      <w:rPr>
        <w:rFonts w:ascii="Arial" w:hAnsi="Arial" w:cs="Arial"/>
        <w:sz w:val="16"/>
        <w:szCs w:val="16"/>
      </w:rPr>
    </w:pPr>
    <w:sdt>
      <w:sdtPr>
        <w:rPr>
          <w:rFonts w:ascii="Arial" w:hAnsi="Arial" w:cs="Arial"/>
          <w:sz w:val="16"/>
          <w:szCs w:val="16"/>
        </w:rPr>
        <w:alias w:val="Title"/>
        <w:tag w:val=""/>
        <w:id w:val="-1043592905"/>
        <w:placeholder>
          <w:docPart w:val="6436CC39FC3F4F3E9DF750F5CE7130B6"/>
        </w:placeholder>
        <w:dataBinding w:prefixMappings="xmlns:ns0='http://purl.org/dc/elements/1.1/' xmlns:ns1='http://schemas.openxmlformats.org/package/2006/metadata/core-properties' " w:xpath="/ns1:coreProperties[1]/ns0:title[1]" w:storeItemID="{6C3C8BC8-F283-45AE-878A-BAB7291924A1}"/>
        <w:text/>
      </w:sdtPr>
      <w:sdtEndPr/>
      <w:sdtContent>
        <w:r w:rsidR="00F927C3">
          <w:rPr>
            <w:rFonts w:ascii="Arial" w:hAnsi="Arial" w:cs="Arial"/>
            <w:sz w:val="16"/>
            <w:szCs w:val="16"/>
          </w:rPr>
          <w:t>Conflict of Interest Register</w:t>
        </w:r>
      </w:sdtContent>
    </w:sdt>
    <w:r w:rsidR="00486B1A" w:rsidRPr="009F07AA">
      <w:rPr>
        <w:rFonts w:ascii="Arial" w:hAnsi="Arial" w:cs="Arial"/>
        <w:sz w:val="16"/>
        <w:szCs w:val="16"/>
      </w:rPr>
      <w:t xml:space="preserve"> v1</w:t>
    </w:r>
    <w:r w:rsidR="00486B1A" w:rsidRPr="009F07AA">
      <w:rPr>
        <w:rFonts w:ascii="Arial" w:hAnsi="Arial" w:cs="Arial"/>
        <w:sz w:val="16"/>
        <w:szCs w:val="16"/>
      </w:rPr>
      <w:tab/>
    </w:r>
    <w:r w:rsidR="00486B1A" w:rsidRPr="009F07AA">
      <w:rPr>
        <w:rFonts w:ascii="Arial" w:hAnsi="Arial" w:cs="Arial"/>
        <w:sz w:val="16"/>
        <w:szCs w:val="16"/>
      </w:rPr>
      <w:fldChar w:fldCharType="begin"/>
    </w:r>
    <w:r w:rsidR="00486B1A" w:rsidRPr="009F07AA">
      <w:rPr>
        <w:rFonts w:ascii="Arial" w:hAnsi="Arial" w:cs="Arial"/>
        <w:sz w:val="16"/>
        <w:szCs w:val="16"/>
      </w:rPr>
      <w:instrText xml:space="preserve"> DATE   \* MERGEFORMAT </w:instrText>
    </w:r>
    <w:r w:rsidR="00486B1A" w:rsidRPr="009F07AA">
      <w:rPr>
        <w:rFonts w:ascii="Arial" w:hAnsi="Arial" w:cs="Arial"/>
        <w:sz w:val="16"/>
        <w:szCs w:val="16"/>
      </w:rPr>
      <w:fldChar w:fldCharType="separate"/>
    </w:r>
    <w:r w:rsidR="005F54C1">
      <w:rPr>
        <w:rFonts w:ascii="Arial" w:hAnsi="Arial" w:cs="Arial"/>
        <w:noProof/>
        <w:sz w:val="16"/>
        <w:szCs w:val="16"/>
      </w:rPr>
      <w:t>16/07/2026</w:t>
    </w:r>
    <w:r w:rsidR="00486B1A" w:rsidRPr="009F07AA">
      <w:rPr>
        <w:rFonts w:ascii="Arial" w:hAnsi="Arial" w:cs="Arial"/>
        <w:sz w:val="16"/>
        <w:szCs w:val="16"/>
      </w:rPr>
      <w:fldChar w:fldCharType="end"/>
    </w:r>
    <w:r w:rsidR="00486B1A" w:rsidRPr="009F07AA">
      <w:rPr>
        <w:rFonts w:ascii="Arial" w:hAnsi="Arial" w:cs="Arial"/>
        <w:sz w:val="16"/>
        <w:szCs w:val="16"/>
      </w:rPr>
      <w:tab/>
      <w:t xml:space="preserve">Page </w:t>
    </w:r>
    <w:r w:rsidR="00486B1A" w:rsidRPr="009F07AA">
      <w:rPr>
        <w:rFonts w:ascii="Arial" w:hAnsi="Arial" w:cs="Arial"/>
        <w:b/>
        <w:bCs/>
        <w:sz w:val="16"/>
        <w:szCs w:val="16"/>
      </w:rPr>
      <w:fldChar w:fldCharType="begin"/>
    </w:r>
    <w:r w:rsidR="00486B1A" w:rsidRPr="009F07AA">
      <w:rPr>
        <w:rFonts w:ascii="Arial" w:hAnsi="Arial" w:cs="Arial"/>
        <w:b/>
        <w:bCs/>
        <w:sz w:val="16"/>
        <w:szCs w:val="16"/>
      </w:rPr>
      <w:instrText xml:space="preserve"> PAGE  \* Arabic  \* MERGEFORMAT </w:instrText>
    </w:r>
    <w:r w:rsidR="00486B1A" w:rsidRPr="009F07AA">
      <w:rPr>
        <w:rFonts w:ascii="Arial" w:hAnsi="Arial" w:cs="Arial"/>
        <w:b/>
        <w:bCs/>
        <w:sz w:val="16"/>
        <w:szCs w:val="16"/>
      </w:rPr>
      <w:fldChar w:fldCharType="separate"/>
    </w:r>
    <w:r w:rsidR="00486B1A" w:rsidRPr="009F07AA">
      <w:rPr>
        <w:rFonts w:ascii="Arial" w:hAnsi="Arial" w:cs="Arial"/>
        <w:b/>
        <w:bCs/>
        <w:sz w:val="16"/>
        <w:szCs w:val="16"/>
      </w:rPr>
      <w:t>1</w:t>
    </w:r>
    <w:r w:rsidR="00486B1A" w:rsidRPr="009F07AA">
      <w:rPr>
        <w:rFonts w:ascii="Arial" w:hAnsi="Arial" w:cs="Arial"/>
        <w:b/>
        <w:bCs/>
        <w:sz w:val="16"/>
        <w:szCs w:val="16"/>
      </w:rPr>
      <w:fldChar w:fldCharType="end"/>
    </w:r>
    <w:r w:rsidR="00486B1A" w:rsidRPr="009F07AA">
      <w:rPr>
        <w:rFonts w:ascii="Arial" w:hAnsi="Arial" w:cs="Arial"/>
        <w:sz w:val="16"/>
        <w:szCs w:val="16"/>
      </w:rPr>
      <w:t xml:space="preserve"> of </w:t>
    </w:r>
    <w:r w:rsidR="00486B1A" w:rsidRPr="009F07AA">
      <w:rPr>
        <w:rFonts w:ascii="Arial" w:hAnsi="Arial" w:cs="Arial"/>
        <w:b/>
        <w:bCs/>
        <w:sz w:val="16"/>
        <w:szCs w:val="16"/>
      </w:rPr>
      <w:fldChar w:fldCharType="begin"/>
    </w:r>
    <w:r w:rsidR="00486B1A" w:rsidRPr="009F07AA">
      <w:rPr>
        <w:rFonts w:ascii="Arial" w:hAnsi="Arial" w:cs="Arial"/>
        <w:b/>
        <w:bCs/>
        <w:sz w:val="16"/>
        <w:szCs w:val="16"/>
      </w:rPr>
      <w:instrText xml:space="preserve"> NUMPAGES  \* Arabic  \* MERGEFORMAT </w:instrText>
    </w:r>
    <w:r w:rsidR="00486B1A" w:rsidRPr="009F07AA">
      <w:rPr>
        <w:rFonts w:ascii="Arial" w:hAnsi="Arial" w:cs="Arial"/>
        <w:b/>
        <w:bCs/>
        <w:sz w:val="16"/>
        <w:szCs w:val="16"/>
      </w:rPr>
      <w:fldChar w:fldCharType="separate"/>
    </w:r>
    <w:r w:rsidR="00486B1A" w:rsidRPr="009F07AA">
      <w:rPr>
        <w:rFonts w:ascii="Arial" w:hAnsi="Arial" w:cs="Arial"/>
        <w:b/>
        <w:bCs/>
        <w:sz w:val="16"/>
        <w:szCs w:val="16"/>
      </w:rPr>
      <w:t>1</w:t>
    </w:r>
    <w:r w:rsidR="00486B1A" w:rsidRPr="009F07AA">
      <w:rPr>
        <w:rFonts w:ascii="Arial" w:hAnsi="Arial" w:cs="Arial"/>
        <w:b/>
        <w:bCs/>
        <w:sz w:val="16"/>
        <w:szCs w:val="16"/>
      </w:rPr>
      <w:fldChar w:fldCharType="end"/>
    </w:r>
  </w:p>
  <w:p w14:paraId="5CB22A62" w14:textId="0BF9B45D" w:rsidR="00486B1A" w:rsidRPr="009F07AA" w:rsidRDefault="00AA52DD" w:rsidP="00486B1A">
    <w:pPr>
      <w:pStyle w:val="Footer"/>
      <w:rPr>
        <w:rFonts w:ascii="Arial" w:hAnsi="Arial" w:cs="Arial"/>
        <w:sz w:val="16"/>
        <w:szCs w:val="16"/>
      </w:rPr>
    </w:pPr>
    <w:sdt>
      <w:sdtPr>
        <w:rPr>
          <w:rFonts w:ascii="Arial" w:hAnsi="Arial" w:cs="Arial"/>
          <w:sz w:val="16"/>
          <w:szCs w:val="16"/>
        </w:rPr>
        <w:alias w:val="Company Address"/>
        <w:tag w:val=""/>
        <w:id w:val="-1654979687"/>
        <w:placeholder>
          <w:docPart w:val="7AC7BAE9609C49E19BACDB9196853A01"/>
        </w:placeholder>
        <w:dataBinding w:prefixMappings="xmlns:ns0='http://schemas.microsoft.com/office/2006/coverPageProps' " w:xpath="/ns0:CoverPageProperties[1]/ns0:CompanyAddress[1]" w:storeItemID="{55AF091B-3C7A-41E3-B477-F2FDAA23CFDA}"/>
        <w:text/>
      </w:sdtPr>
      <w:sdtEndPr/>
      <w:sdtContent>
        <w:r w:rsidR="00C40F0C" w:rsidRPr="009F07AA">
          <w:rPr>
            <w:rFonts w:ascii="Arial" w:hAnsi="Arial" w:cs="Arial"/>
            <w:sz w:val="16"/>
            <w:szCs w:val="16"/>
          </w:rPr>
          <w:t>www</w:t>
        </w:r>
        <w:r w:rsidR="000C5C72" w:rsidRPr="009F07AA">
          <w:rPr>
            <w:rFonts w:ascii="Arial" w:hAnsi="Arial" w:cs="Arial"/>
            <w:sz w:val="16"/>
            <w:szCs w:val="16"/>
          </w:rPr>
          <w:t>.velocityc</w:t>
        </w:r>
        <w:r w:rsidR="00FB3F76">
          <w:rPr>
            <w:rFonts w:ascii="Arial" w:hAnsi="Arial" w:cs="Arial"/>
            <w:sz w:val="16"/>
            <w:szCs w:val="16"/>
          </w:rPr>
          <w:t>ivil</w:t>
        </w:r>
        <w:r w:rsidR="000C5C72" w:rsidRPr="009F07AA">
          <w:rPr>
            <w:rFonts w:ascii="Arial" w:hAnsi="Arial" w:cs="Arial"/>
            <w:sz w:val="16"/>
            <w:szCs w:val="16"/>
          </w:rPr>
          <w:t>.com</w:t>
        </w:r>
      </w:sdtContent>
    </w:sdt>
  </w:p>
  <w:p w14:paraId="7A997EE8" w14:textId="77777777" w:rsidR="00486B1A" w:rsidRDefault="00486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DBB39" w14:textId="77777777" w:rsidR="00AA52DD" w:rsidRDefault="00AA52DD" w:rsidP="00486B1A">
      <w:pPr>
        <w:spacing w:after="0" w:line="240" w:lineRule="auto"/>
      </w:pPr>
      <w:r>
        <w:separator/>
      </w:r>
    </w:p>
  </w:footnote>
  <w:footnote w:type="continuationSeparator" w:id="0">
    <w:p w14:paraId="054CDDB2" w14:textId="77777777" w:rsidR="00AA52DD" w:rsidRDefault="00AA52DD" w:rsidP="00486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4E37" w14:textId="1A2B5317" w:rsidR="0027164F" w:rsidRPr="0027164F" w:rsidRDefault="0027164F" w:rsidP="00096DDC">
    <w:pPr>
      <w:pStyle w:val="Header"/>
    </w:pPr>
    <w:r>
      <w:rPr>
        <w:noProof/>
      </w:rPr>
      <w:drawing>
        <wp:anchor distT="0" distB="0" distL="114300" distR="114300" simplePos="0" relativeHeight="251658240" behindDoc="0" locked="0" layoutInCell="1" allowOverlap="1" wp14:anchorId="60EEC42B" wp14:editId="1D92C2C6">
          <wp:simplePos x="0" y="0"/>
          <wp:positionH relativeFrom="column">
            <wp:posOffset>-90805</wp:posOffset>
          </wp:positionH>
          <wp:positionV relativeFrom="paragraph">
            <wp:posOffset>-116205</wp:posOffset>
          </wp:positionV>
          <wp:extent cx="681355" cy="733425"/>
          <wp:effectExtent l="0" t="0" r="0" b="9525"/>
          <wp:wrapThrough wrapText="bothSides">
            <wp:wrapPolygon edited="0">
              <wp:start x="4227" y="0"/>
              <wp:lineTo x="2416" y="12343"/>
              <wp:lineTo x="2416" y="17953"/>
              <wp:lineTo x="7851" y="21319"/>
              <wp:lineTo x="8455" y="21319"/>
              <wp:lineTo x="12682" y="21319"/>
              <wp:lineTo x="13286" y="21319"/>
              <wp:lineTo x="18721" y="17953"/>
              <wp:lineTo x="18117" y="11782"/>
              <wp:lineTo x="10870" y="1683"/>
              <wp:lineTo x="7851" y="0"/>
              <wp:lineTo x="4227" y="0"/>
            </wp:wrapPolygon>
          </wp:wrapThrough>
          <wp:docPr id="1999948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355" cy="733425"/>
                  </a:xfrm>
                  <a:prstGeom prst="rect">
                    <a:avLst/>
                  </a:prstGeom>
                  <a:noFill/>
                </pic:spPr>
              </pic:pic>
            </a:graphicData>
          </a:graphic>
          <wp14:sizeRelH relativeFrom="margin">
            <wp14:pctWidth>0</wp14:pctWidth>
          </wp14:sizeRelH>
          <wp14:sizeRelV relativeFrom="margin">
            <wp14:pctHeight>0</wp14:pctHeight>
          </wp14:sizeRelV>
        </wp:anchor>
      </w:drawing>
    </w:r>
    <w:r w:rsidR="00161A59" w:rsidRPr="009B764F">
      <w:rPr>
        <w:rStyle w:val="Heading1Char"/>
      </w:rPr>
      <w:t>Velocity Civil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1A"/>
    <w:rsid w:val="000065A0"/>
    <w:rsid w:val="00096DDC"/>
    <w:rsid w:val="000C5C72"/>
    <w:rsid w:val="000F0BCF"/>
    <w:rsid w:val="000F1938"/>
    <w:rsid w:val="00106823"/>
    <w:rsid w:val="00115AD8"/>
    <w:rsid w:val="00117C19"/>
    <w:rsid w:val="00120195"/>
    <w:rsid w:val="00121723"/>
    <w:rsid w:val="00142DB8"/>
    <w:rsid w:val="00161A59"/>
    <w:rsid w:val="00195F7A"/>
    <w:rsid w:val="001A4416"/>
    <w:rsid w:val="001C7618"/>
    <w:rsid w:val="00232DA5"/>
    <w:rsid w:val="0025415F"/>
    <w:rsid w:val="0027164F"/>
    <w:rsid w:val="002F69B6"/>
    <w:rsid w:val="003035CA"/>
    <w:rsid w:val="00303DB3"/>
    <w:rsid w:val="00344C01"/>
    <w:rsid w:val="00361588"/>
    <w:rsid w:val="00361DDD"/>
    <w:rsid w:val="003E2684"/>
    <w:rsid w:val="00440221"/>
    <w:rsid w:val="00486B1A"/>
    <w:rsid w:val="00495F61"/>
    <w:rsid w:val="004A1DC7"/>
    <w:rsid w:val="004C302A"/>
    <w:rsid w:val="004E2440"/>
    <w:rsid w:val="00510C04"/>
    <w:rsid w:val="00596196"/>
    <w:rsid w:val="005B4ACA"/>
    <w:rsid w:val="005E04A1"/>
    <w:rsid w:val="005F3B76"/>
    <w:rsid w:val="005F54C1"/>
    <w:rsid w:val="00641734"/>
    <w:rsid w:val="00654720"/>
    <w:rsid w:val="00656B29"/>
    <w:rsid w:val="0069100C"/>
    <w:rsid w:val="00737689"/>
    <w:rsid w:val="00753994"/>
    <w:rsid w:val="00766186"/>
    <w:rsid w:val="00770ADA"/>
    <w:rsid w:val="007E3D4F"/>
    <w:rsid w:val="0080188F"/>
    <w:rsid w:val="0082281D"/>
    <w:rsid w:val="00855EA3"/>
    <w:rsid w:val="00936B31"/>
    <w:rsid w:val="009410B3"/>
    <w:rsid w:val="009B2170"/>
    <w:rsid w:val="009B764F"/>
    <w:rsid w:val="009E0037"/>
    <w:rsid w:val="009F07AA"/>
    <w:rsid w:val="00A167CD"/>
    <w:rsid w:val="00A70637"/>
    <w:rsid w:val="00AA52DD"/>
    <w:rsid w:val="00AC607B"/>
    <w:rsid w:val="00AF52C3"/>
    <w:rsid w:val="00B01E40"/>
    <w:rsid w:val="00B3151E"/>
    <w:rsid w:val="00BB50B6"/>
    <w:rsid w:val="00BD6552"/>
    <w:rsid w:val="00C266C4"/>
    <w:rsid w:val="00C40F0C"/>
    <w:rsid w:val="00C6138B"/>
    <w:rsid w:val="00C70351"/>
    <w:rsid w:val="00C92928"/>
    <w:rsid w:val="00CA3B9C"/>
    <w:rsid w:val="00CD1903"/>
    <w:rsid w:val="00CD5F48"/>
    <w:rsid w:val="00D50E11"/>
    <w:rsid w:val="00D53B39"/>
    <w:rsid w:val="00D7502A"/>
    <w:rsid w:val="00D77270"/>
    <w:rsid w:val="00D80902"/>
    <w:rsid w:val="00E47283"/>
    <w:rsid w:val="00E75397"/>
    <w:rsid w:val="00E82058"/>
    <w:rsid w:val="00E960A7"/>
    <w:rsid w:val="00EB0D49"/>
    <w:rsid w:val="00EC7231"/>
    <w:rsid w:val="00F060FF"/>
    <w:rsid w:val="00F1617F"/>
    <w:rsid w:val="00F322FB"/>
    <w:rsid w:val="00F32316"/>
    <w:rsid w:val="00F717AD"/>
    <w:rsid w:val="00F830C2"/>
    <w:rsid w:val="00F927C3"/>
    <w:rsid w:val="00FB3F76"/>
    <w:rsid w:val="00FB68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662A9"/>
  <w15:chartTrackingRefBased/>
  <w15:docId w15:val="{63E3EDF8-6A85-468F-92F1-AACA90A7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64F"/>
    <w:pPr>
      <w:keepNext/>
      <w:keepLines/>
      <w:spacing w:before="360" w:after="80"/>
      <w:outlineLvl w:val="0"/>
    </w:pPr>
    <w:rPr>
      <w:rFonts w:ascii="Abel" w:eastAsiaTheme="majorEastAsia" w:hAnsi="Abel" w:cstheme="majorBidi"/>
      <w:b/>
      <w:color w:val="0F4761" w:themeColor="accent1" w:themeShade="BF"/>
      <w:sz w:val="72"/>
      <w:szCs w:val="40"/>
    </w:rPr>
  </w:style>
  <w:style w:type="paragraph" w:styleId="Heading2">
    <w:name w:val="heading 2"/>
    <w:basedOn w:val="Normal"/>
    <w:next w:val="Normal"/>
    <w:link w:val="Heading2Char"/>
    <w:uiPriority w:val="9"/>
    <w:unhideWhenUsed/>
    <w:qFormat/>
    <w:rsid w:val="00486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6B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B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B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B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B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B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B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64F"/>
    <w:rPr>
      <w:rFonts w:ascii="Abel" w:eastAsiaTheme="majorEastAsia" w:hAnsi="Abel" w:cstheme="majorBidi"/>
      <w:b/>
      <w:color w:val="0F4761" w:themeColor="accent1" w:themeShade="BF"/>
      <w:sz w:val="72"/>
      <w:szCs w:val="40"/>
    </w:rPr>
  </w:style>
  <w:style w:type="character" w:customStyle="1" w:styleId="Heading2Char">
    <w:name w:val="Heading 2 Char"/>
    <w:basedOn w:val="DefaultParagraphFont"/>
    <w:link w:val="Heading2"/>
    <w:uiPriority w:val="9"/>
    <w:rsid w:val="00486B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6B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B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B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B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B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B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B1A"/>
    <w:rPr>
      <w:rFonts w:eastAsiaTheme="majorEastAsia" w:cstheme="majorBidi"/>
      <w:color w:val="272727" w:themeColor="text1" w:themeTint="D8"/>
    </w:rPr>
  </w:style>
  <w:style w:type="paragraph" w:styleId="Title">
    <w:name w:val="Title"/>
    <w:basedOn w:val="Normal"/>
    <w:next w:val="Normal"/>
    <w:link w:val="TitleChar"/>
    <w:uiPriority w:val="10"/>
    <w:qFormat/>
    <w:rsid w:val="00486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B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B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B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B1A"/>
    <w:pPr>
      <w:spacing w:before="160"/>
      <w:jc w:val="center"/>
    </w:pPr>
    <w:rPr>
      <w:i/>
      <w:iCs/>
      <w:color w:val="404040" w:themeColor="text1" w:themeTint="BF"/>
    </w:rPr>
  </w:style>
  <w:style w:type="character" w:customStyle="1" w:styleId="QuoteChar">
    <w:name w:val="Quote Char"/>
    <w:basedOn w:val="DefaultParagraphFont"/>
    <w:link w:val="Quote"/>
    <w:uiPriority w:val="29"/>
    <w:rsid w:val="00486B1A"/>
    <w:rPr>
      <w:i/>
      <w:iCs/>
      <w:color w:val="404040" w:themeColor="text1" w:themeTint="BF"/>
    </w:rPr>
  </w:style>
  <w:style w:type="paragraph" w:styleId="ListParagraph">
    <w:name w:val="List Paragraph"/>
    <w:basedOn w:val="Normal"/>
    <w:uiPriority w:val="34"/>
    <w:qFormat/>
    <w:rsid w:val="00486B1A"/>
    <w:pPr>
      <w:ind w:left="720"/>
      <w:contextualSpacing/>
    </w:pPr>
  </w:style>
  <w:style w:type="character" w:styleId="IntenseEmphasis">
    <w:name w:val="Intense Emphasis"/>
    <w:basedOn w:val="DefaultParagraphFont"/>
    <w:uiPriority w:val="21"/>
    <w:qFormat/>
    <w:rsid w:val="00486B1A"/>
    <w:rPr>
      <w:i/>
      <w:iCs/>
      <w:color w:val="0F4761" w:themeColor="accent1" w:themeShade="BF"/>
    </w:rPr>
  </w:style>
  <w:style w:type="paragraph" w:styleId="IntenseQuote">
    <w:name w:val="Intense Quote"/>
    <w:basedOn w:val="Normal"/>
    <w:next w:val="Normal"/>
    <w:link w:val="IntenseQuoteChar"/>
    <w:uiPriority w:val="30"/>
    <w:qFormat/>
    <w:rsid w:val="00486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B1A"/>
    <w:rPr>
      <w:i/>
      <w:iCs/>
      <w:color w:val="0F4761" w:themeColor="accent1" w:themeShade="BF"/>
    </w:rPr>
  </w:style>
  <w:style w:type="character" w:styleId="IntenseReference">
    <w:name w:val="Intense Reference"/>
    <w:basedOn w:val="DefaultParagraphFont"/>
    <w:uiPriority w:val="32"/>
    <w:qFormat/>
    <w:rsid w:val="00486B1A"/>
    <w:rPr>
      <w:b/>
      <w:bCs/>
      <w:smallCaps/>
      <w:color w:val="0F4761" w:themeColor="accent1" w:themeShade="BF"/>
      <w:spacing w:val="5"/>
    </w:rPr>
  </w:style>
  <w:style w:type="paragraph" w:styleId="Header">
    <w:name w:val="header"/>
    <w:basedOn w:val="Normal"/>
    <w:link w:val="HeaderChar"/>
    <w:uiPriority w:val="99"/>
    <w:unhideWhenUsed/>
    <w:rsid w:val="00486B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B1A"/>
  </w:style>
  <w:style w:type="paragraph" w:styleId="Footer">
    <w:name w:val="footer"/>
    <w:basedOn w:val="Normal"/>
    <w:link w:val="FooterChar"/>
    <w:uiPriority w:val="99"/>
    <w:unhideWhenUsed/>
    <w:rsid w:val="00486B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B1A"/>
  </w:style>
  <w:style w:type="character" w:styleId="PlaceholderText">
    <w:name w:val="Placeholder Text"/>
    <w:basedOn w:val="DefaultParagraphFont"/>
    <w:uiPriority w:val="99"/>
    <w:semiHidden/>
    <w:rsid w:val="00486B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36CC39FC3F4F3E9DF750F5CE7130B6"/>
        <w:category>
          <w:name w:val="General"/>
          <w:gallery w:val="placeholder"/>
        </w:category>
        <w:types>
          <w:type w:val="bbPlcHdr"/>
        </w:types>
        <w:behaviors>
          <w:behavior w:val="content"/>
        </w:behaviors>
        <w:guid w:val="{4D4C28E9-72E6-4FED-9585-1A4EBE722809}"/>
      </w:docPartPr>
      <w:docPartBody>
        <w:p w:rsidR="00757F1A" w:rsidRDefault="00026100" w:rsidP="00026100">
          <w:pPr>
            <w:pStyle w:val="6436CC39FC3F4F3E9DF750F5CE7130B6"/>
          </w:pPr>
          <w:r w:rsidRPr="00393763">
            <w:rPr>
              <w:rStyle w:val="PlaceholderText"/>
            </w:rPr>
            <w:t>[Title]</w:t>
          </w:r>
        </w:p>
      </w:docPartBody>
    </w:docPart>
    <w:docPart>
      <w:docPartPr>
        <w:name w:val="7AC7BAE9609C49E19BACDB9196853A01"/>
        <w:category>
          <w:name w:val="General"/>
          <w:gallery w:val="placeholder"/>
        </w:category>
        <w:types>
          <w:type w:val="bbPlcHdr"/>
        </w:types>
        <w:behaviors>
          <w:behavior w:val="content"/>
        </w:behaviors>
        <w:guid w:val="{8E472C6C-E0B5-4F2C-83D6-BE4E1851F919}"/>
      </w:docPartPr>
      <w:docPartBody>
        <w:p w:rsidR="00757F1A" w:rsidRDefault="00026100" w:rsidP="00026100">
          <w:pPr>
            <w:pStyle w:val="7AC7BAE9609C49E19BACDB9196853A01"/>
          </w:pPr>
          <w:r w:rsidRPr="00393763">
            <w:rPr>
              <w:rStyle w:val="PlaceholderText"/>
            </w:rPr>
            <w:t>[Company Address]</w:t>
          </w:r>
        </w:p>
      </w:docPartBody>
    </w:docPart>
    <w:docPart>
      <w:docPartPr>
        <w:name w:val="08BDABCF2EA3475BA15661D76D807465"/>
        <w:category>
          <w:name w:val="General"/>
          <w:gallery w:val="placeholder"/>
        </w:category>
        <w:types>
          <w:type w:val="bbPlcHdr"/>
        </w:types>
        <w:behaviors>
          <w:behavior w:val="content"/>
        </w:behaviors>
        <w:guid w:val="{EDD25F76-9508-45C9-8A98-11A460EE193B}"/>
      </w:docPartPr>
      <w:docPartBody>
        <w:p w:rsidR="0006546C" w:rsidRDefault="007C7EA9">
          <w:r w:rsidRPr="00E643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bel">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00"/>
    <w:rsid w:val="00026100"/>
    <w:rsid w:val="0006546C"/>
    <w:rsid w:val="00361DDD"/>
    <w:rsid w:val="003772E0"/>
    <w:rsid w:val="003F3E0B"/>
    <w:rsid w:val="00440221"/>
    <w:rsid w:val="005173A0"/>
    <w:rsid w:val="0055485D"/>
    <w:rsid w:val="005B0AA8"/>
    <w:rsid w:val="005B4ACA"/>
    <w:rsid w:val="005E232C"/>
    <w:rsid w:val="00654720"/>
    <w:rsid w:val="0072097B"/>
    <w:rsid w:val="00757F1A"/>
    <w:rsid w:val="007C7EA9"/>
    <w:rsid w:val="00B702B0"/>
    <w:rsid w:val="00B92171"/>
    <w:rsid w:val="00D80902"/>
    <w:rsid w:val="00E1130D"/>
    <w:rsid w:val="00E73B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EA9"/>
    <w:rPr>
      <w:color w:val="666666"/>
    </w:rPr>
  </w:style>
  <w:style w:type="paragraph" w:customStyle="1" w:styleId="6436CC39FC3F4F3E9DF750F5CE7130B6">
    <w:name w:val="6436CC39FC3F4F3E9DF750F5CE7130B6"/>
    <w:rsid w:val="00026100"/>
  </w:style>
  <w:style w:type="paragraph" w:customStyle="1" w:styleId="7AC7BAE9609C49E19BACDB9196853A01">
    <w:name w:val="7AC7BAE9609C49E19BACDB9196853A01"/>
    <w:rsid w:val="00026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www.velocitycivil.com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258</Words>
  <Characters>1472</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Section A: Functional Specification Summary</vt:lpstr>
      <vt:lpstr>    Section B: Design Criteria – Geometry and Layout</vt:lpstr>
      <vt:lpstr>    </vt:lpstr>
      <vt:lpstr>    Section C: Design Criteria – Pavement and Materials</vt:lpstr>
      <vt:lpstr>    Section D: Design Criteria – Drainage and Earthworks</vt:lpstr>
      <vt:lpstr>    </vt:lpstr>
      <vt:lpstr>    Section E: Environmental and Cultural Requirements</vt:lpstr>
      <vt:lpstr>    </vt:lpstr>
      <vt:lpstr>    Section F: Construction and Implementation Considerations</vt:lpstr>
      <vt:lpstr>    </vt:lpstr>
      <vt:lpstr>    Section G: Assumptions and Exclusions</vt:lpstr>
      <vt:lpstr>    </vt:lpstr>
      <vt:lpstr>    Section H: Client Confirmation of Design Criteria</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Register</dc:title>
  <dc:subject/>
  <dc:creator>Karin Florie</dc:creator>
  <cp:keywords/>
  <dc:description/>
  <cp:lastModifiedBy>Karin Florie</cp:lastModifiedBy>
  <cp:revision>9</cp:revision>
  <dcterms:created xsi:type="dcterms:W3CDTF">2026-07-16T01:05:00Z</dcterms:created>
  <dcterms:modified xsi:type="dcterms:W3CDTF">2026-07-16T01:15:00Z</dcterms:modified>
</cp:coreProperties>
</file>