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69FB3" w14:textId="1ECAC3FB" w:rsidR="00486B1A" w:rsidRPr="00486B1A" w:rsidRDefault="00000000" w:rsidP="00C06859">
      <w:pPr>
        <w:spacing w:after="0"/>
      </w:pPr>
      <w:sdt>
        <w:sdtPr>
          <w:rPr>
            <w:rStyle w:val="Heading1Char"/>
            <w:sz w:val="48"/>
            <w:szCs w:val="48"/>
          </w:rPr>
          <w:alias w:val="Title"/>
          <w:tag w:val=""/>
          <w:id w:val="1270197154"/>
          <w:placeholder>
            <w:docPart w:val="7CF0D4D55CC344DCA2686DF1180E7B25"/>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asciiTheme="minorHAnsi" w:eastAsiaTheme="minorHAnsi" w:hAnsiTheme="minorHAnsi" w:cstheme="minorBidi"/>
            <w:b w:val="0"/>
            <w:color w:val="auto"/>
            <w:sz w:val="22"/>
            <w:szCs w:val="22"/>
          </w:rPr>
        </w:sdtEndPr>
        <w:sdtContent>
          <w:r w:rsidR="00DD1823">
            <w:rPr>
              <w:rStyle w:val="Heading1Char"/>
              <w:sz w:val="48"/>
              <w:szCs w:val="48"/>
            </w:rPr>
            <w:t>Environmental and Sustainability</w:t>
          </w:r>
          <w:r w:rsidR="00B60463">
            <w:rPr>
              <w:rStyle w:val="Heading1Char"/>
              <w:sz w:val="48"/>
              <w:szCs w:val="48"/>
            </w:rPr>
            <w:t xml:space="preserve"> </w:t>
          </w:r>
          <w:r w:rsidR="00D6462E">
            <w:rPr>
              <w:rStyle w:val="Heading1Char"/>
              <w:sz w:val="48"/>
              <w:szCs w:val="48"/>
            </w:rPr>
            <w:t>Policy</w:t>
          </w:r>
        </w:sdtContent>
      </w:sdt>
      <w:r>
        <w:pict w14:anchorId="3E328EBF">
          <v:rect id="_x0000_i1025" style="width:0;height:1.5pt" o:hralign="center" o:hrstd="t" o:hr="t" fillcolor="#a0a0a0" stroked="f"/>
        </w:pict>
      </w:r>
    </w:p>
    <w:p w14:paraId="5AF66007" w14:textId="5D5EEDEA" w:rsidR="00486B1A" w:rsidRDefault="00486B1A" w:rsidP="00C06859">
      <w:pPr>
        <w:pStyle w:val="Heading2"/>
        <w:spacing w:before="0" w:after="0"/>
      </w:pPr>
      <w:r w:rsidRPr="00486B1A">
        <w:t xml:space="preserve">Section A: </w:t>
      </w:r>
      <w:r w:rsidR="00E210CA">
        <w:t>Purpose</w:t>
      </w:r>
    </w:p>
    <w:p w14:paraId="76D1A135" w14:textId="77777777" w:rsidR="00914183" w:rsidRPr="00914183" w:rsidRDefault="00914183" w:rsidP="00914183"/>
    <w:tbl>
      <w:tblPr>
        <w:tblW w:w="0" w:type="auto"/>
        <w:tblCellMar>
          <w:top w:w="15" w:type="dxa"/>
          <w:left w:w="15" w:type="dxa"/>
          <w:bottom w:w="15" w:type="dxa"/>
          <w:right w:w="15" w:type="dxa"/>
        </w:tblCellMar>
        <w:tblLook w:val="04A0" w:firstRow="1" w:lastRow="0" w:firstColumn="1" w:lastColumn="0" w:noHBand="0" w:noVBand="1"/>
      </w:tblPr>
      <w:tblGrid>
        <w:gridCol w:w="1627"/>
        <w:gridCol w:w="7399"/>
      </w:tblGrid>
      <w:tr w:rsidR="00CF3773" w:rsidRPr="00486B1A" w14:paraId="30E938D1" w14:textId="77777777" w:rsidTr="008049ED">
        <w:tc>
          <w:tcPr>
            <w:tcW w:w="0" w:type="auto"/>
            <w:tcMar>
              <w:top w:w="150" w:type="dxa"/>
              <w:left w:w="150" w:type="dxa"/>
              <w:bottom w:w="150" w:type="dxa"/>
              <w:right w:w="150" w:type="dxa"/>
            </w:tcMar>
          </w:tcPr>
          <w:p w14:paraId="640809CF" w14:textId="218F0DC5" w:rsidR="00CF3773" w:rsidRPr="00486B1A" w:rsidRDefault="00CF3773" w:rsidP="00C06859">
            <w:pPr>
              <w:spacing w:after="0"/>
              <w:rPr>
                <w:b/>
                <w:bCs/>
              </w:rPr>
            </w:pPr>
            <w:r>
              <w:rPr>
                <w:b/>
                <w:bCs/>
              </w:rPr>
              <w:t>Introduction</w:t>
            </w:r>
          </w:p>
        </w:tc>
        <w:tc>
          <w:tcPr>
            <w:tcW w:w="0" w:type="auto"/>
            <w:tcMar>
              <w:top w:w="150" w:type="dxa"/>
              <w:left w:w="150" w:type="dxa"/>
              <w:bottom w:w="150" w:type="dxa"/>
              <w:right w:w="150" w:type="dxa"/>
            </w:tcMar>
          </w:tcPr>
          <w:p w14:paraId="236D3DD1" w14:textId="71B6B956" w:rsidR="00826789" w:rsidRPr="00511A5A" w:rsidRDefault="00826789" w:rsidP="00C06859">
            <w:pPr>
              <w:spacing w:after="0"/>
            </w:pPr>
            <w:r w:rsidRPr="00826789">
              <w:t>Velocity Civil is committed to providing civil construction design, engineering and project management services that protect and preserve the environment. We recognise that infrastructure design fundamentally shapes the long-term ecological footprint of our communities.</w:t>
            </w:r>
          </w:p>
        </w:tc>
      </w:tr>
      <w:tr w:rsidR="00486B1A" w:rsidRPr="00486B1A" w14:paraId="3ED0F55E" w14:textId="77777777" w:rsidTr="008049ED">
        <w:tc>
          <w:tcPr>
            <w:tcW w:w="0" w:type="auto"/>
            <w:tcMar>
              <w:top w:w="150" w:type="dxa"/>
              <w:left w:w="150" w:type="dxa"/>
              <w:bottom w:w="150" w:type="dxa"/>
              <w:right w:w="150" w:type="dxa"/>
            </w:tcMar>
            <w:hideMark/>
          </w:tcPr>
          <w:p w14:paraId="4B986AAF" w14:textId="3E3849AC" w:rsidR="00486B1A" w:rsidRPr="00486B1A" w:rsidRDefault="00CF3773" w:rsidP="00C06859">
            <w:pPr>
              <w:spacing w:after="0"/>
            </w:pPr>
            <w:r>
              <w:rPr>
                <w:b/>
                <w:bCs/>
              </w:rPr>
              <w:t>Purpose</w:t>
            </w:r>
          </w:p>
        </w:tc>
        <w:tc>
          <w:tcPr>
            <w:tcW w:w="0" w:type="auto"/>
            <w:tcMar>
              <w:top w:w="150" w:type="dxa"/>
              <w:left w:w="150" w:type="dxa"/>
              <w:bottom w:w="150" w:type="dxa"/>
              <w:right w:w="150" w:type="dxa"/>
            </w:tcMar>
            <w:hideMark/>
          </w:tcPr>
          <w:p w14:paraId="3141A7D9" w14:textId="09F0FBE7" w:rsidR="00486B1A" w:rsidRPr="00511A5A" w:rsidRDefault="00975AA9" w:rsidP="00C06859">
            <w:pPr>
              <w:spacing w:after="0"/>
            </w:pPr>
            <w:r w:rsidRPr="00975AA9">
              <w:t>This policy governs all office-based engineering design operations, site investigations (geotechnical, structural, and surveying) and specifications embedded within design deliverables compiled by Velocity Civil across all Australian jurisdictions.</w:t>
            </w:r>
          </w:p>
        </w:tc>
      </w:tr>
      <w:tr w:rsidR="00A1402F" w:rsidRPr="00486B1A" w14:paraId="4DE20B5F" w14:textId="77777777" w:rsidTr="008049ED">
        <w:tc>
          <w:tcPr>
            <w:tcW w:w="0" w:type="auto"/>
            <w:tcMar>
              <w:top w:w="150" w:type="dxa"/>
              <w:left w:w="150" w:type="dxa"/>
              <w:bottom w:w="150" w:type="dxa"/>
              <w:right w:w="150" w:type="dxa"/>
            </w:tcMar>
          </w:tcPr>
          <w:p w14:paraId="25C629DB" w14:textId="4741FA08" w:rsidR="00A1402F" w:rsidRDefault="00A1402F" w:rsidP="00C06859">
            <w:pPr>
              <w:spacing w:after="0"/>
              <w:rPr>
                <w:b/>
                <w:bCs/>
              </w:rPr>
            </w:pPr>
            <w:r>
              <w:rPr>
                <w:b/>
                <w:bCs/>
              </w:rPr>
              <w:t>Target Audience</w:t>
            </w:r>
          </w:p>
        </w:tc>
        <w:tc>
          <w:tcPr>
            <w:tcW w:w="0" w:type="auto"/>
            <w:tcMar>
              <w:top w:w="150" w:type="dxa"/>
              <w:left w:w="150" w:type="dxa"/>
              <w:bottom w:w="150" w:type="dxa"/>
              <w:right w:w="150" w:type="dxa"/>
            </w:tcMar>
          </w:tcPr>
          <w:p w14:paraId="3E409006" w14:textId="250C9C46" w:rsidR="00A1402F" w:rsidRPr="00A1402F" w:rsidRDefault="00DD1823" w:rsidP="00A1402F">
            <w:pPr>
              <w:spacing w:after="0"/>
            </w:pPr>
            <w:r w:rsidRPr="00DD1823">
              <w:t>All Personnel, Project Managers, Engineering Teams, and Sub-consultants</w:t>
            </w:r>
            <w:r w:rsidR="003845F2">
              <w:t>.</w:t>
            </w:r>
          </w:p>
        </w:tc>
      </w:tr>
    </w:tbl>
    <w:p w14:paraId="7B4DEA3E" w14:textId="77777777" w:rsidR="00CF3773" w:rsidRDefault="00CF3773" w:rsidP="00C06859">
      <w:pPr>
        <w:pStyle w:val="Heading2"/>
        <w:spacing w:before="0" w:after="0"/>
      </w:pPr>
    </w:p>
    <w:p w14:paraId="072E736E" w14:textId="25DE1745" w:rsidR="00486B1A" w:rsidRDefault="00486B1A" w:rsidP="00C06859">
      <w:pPr>
        <w:pStyle w:val="Heading2"/>
        <w:spacing w:before="0" w:after="0"/>
      </w:pPr>
      <w:r w:rsidRPr="00486B1A">
        <w:t xml:space="preserve">Section B: </w:t>
      </w:r>
      <w:r w:rsidR="00975AA9">
        <w:t>ISO 14001 Framework Commitments</w:t>
      </w:r>
    </w:p>
    <w:p w14:paraId="3A6D3641" w14:textId="77777777" w:rsidR="00914183" w:rsidRPr="00914183" w:rsidRDefault="00914183" w:rsidP="00914183"/>
    <w:tbl>
      <w:tblPr>
        <w:tblW w:w="9064" w:type="dxa"/>
        <w:tblBorders>
          <w:top w:val="single" w:sz="4" w:space="0" w:color="153D63" w:themeColor="text2" w:themeTint="E6"/>
          <w:left w:val="single" w:sz="4" w:space="0" w:color="153D63" w:themeColor="text2" w:themeTint="E6"/>
          <w:bottom w:val="single" w:sz="4" w:space="0" w:color="153D63" w:themeColor="text2" w:themeTint="E6"/>
          <w:right w:val="single" w:sz="4" w:space="0" w:color="153D63" w:themeColor="text2" w:themeTint="E6"/>
          <w:insideH w:val="single" w:sz="4" w:space="0" w:color="153D63" w:themeColor="text2" w:themeTint="E6"/>
          <w:insideV w:val="single" w:sz="4" w:space="0" w:color="153D63" w:themeColor="text2" w:themeTint="E6"/>
        </w:tblBorders>
        <w:tblCellMar>
          <w:top w:w="15" w:type="dxa"/>
          <w:left w:w="15" w:type="dxa"/>
          <w:bottom w:w="15" w:type="dxa"/>
          <w:right w:w="15" w:type="dxa"/>
        </w:tblCellMar>
        <w:tblLook w:val="04A0" w:firstRow="1" w:lastRow="0" w:firstColumn="1" w:lastColumn="0" w:noHBand="0" w:noVBand="1"/>
      </w:tblPr>
      <w:tblGrid>
        <w:gridCol w:w="2119"/>
        <w:gridCol w:w="6945"/>
      </w:tblGrid>
      <w:tr w:rsidR="00393E9C" w:rsidRPr="00486B1A" w14:paraId="4F5A2275" w14:textId="77777777" w:rsidTr="008049ED">
        <w:trPr>
          <w:cantSplit/>
        </w:trPr>
        <w:tc>
          <w:tcPr>
            <w:tcW w:w="9064" w:type="dxa"/>
            <w:gridSpan w:val="2"/>
            <w:shd w:val="clear" w:color="auto" w:fill="1A365D"/>
            <w:tcMar>
              <w:top w:w="150" w:type="dxa"/>
              <w:left w:w="150" w:type="dxa"/>
              <w:bottom w:w="150" w:type="dxa"/>
              <w:right w:w="150" w:type="dxa"/>
            </w:tcMar>
            <w:hideMark/>
          </w:tcPr>
          <w:p w14:paraId="052AD733" w14:textId="5625A244" w:rsidR="00393E9C" w:rsidRPr="00486B1A" w:rsidRDefault="00131329" w:rsidP="00C06859">
            <w:pPr>
              <w:spacing w:after="0"/>
              <w:rPr>
                <w:b/>
                <w:bCs/>
              </w:rPr>
            </w:pPr>
            <w:r w:rsidRPr="00131329">
              <w:rPr>
                <w:b/>
                <w:bCs/>
              </w:rPr>
              <w:t>Velocity Civil operates strictly under the following statutory frameworks:</w:t>
            </w:r>
          </w:p>
        </w:tc>
      </w:tr>
      <w:tr w:rsidR="00CF3773" w:rsidRPr="00486B1A" w14:paraId="4B96550B" w14:textId="77777777" w:rsidTr="008049ED">
        <w:tc>
          <w:tcPr>
            <w:tcW w:w="2119" w:type="dxa"/>
            <w:tcMar>
              <w:top w:w="150" w:type="dxa"/>
              <w:left w:w="150" w:type="dxa"/>
              <w:bottom w:w="150" w:type="dxa"/>
              <w:right w:w="150" w:type="dxa"/>
            </w:tcMar>
          </w:tcPr>
          <w:p w14:paraId="4FE8B4D9" w14:textId="40DDA2A2" w:rsidR="00CF3773" w:rsidRPr="00B60463" w:rsidRDefault="00B35F53" w:rsidP="00C06859">
            <w:pPr>
              <w:spacing w:after="0"/>
              <w:rPr>
                <w:b/>
                <w:bCs/>
              </w:rPr>
            </w:pPr>
            <w:r w:rsidRPr="00B35F53">
              <w:rPr>
                <w:b/>
                <w:bCs/>
              </w:rPr>
              <w:t>Protection of the Environment &amp; Prevention of Pollution</w:t>
            </w:r>
          </w:p>
        </w:tc>
        <w:tc>
          <w:tcPr>
            <w:tcW w:w="6945" w:type="dxa"/>
            <w:tcMar>
              <w:top w:w="150" w:type="dxa"/>
              <w:left w:w="150" w:type="dxa"/>
              <w:bottom w:w="150" w:type="dxa"/>
              <w:right w:w="150" w:type="dxa"/>
            </w:tcMar>
            <w:hideMark/>
          </w:tcPr>
          <w:p w14:paraId="78652E05" w14:textId="39F23EE3" w:rsidR="00B35F53" w:rsidRPr="00914183" w:rsidRDefault="00B35F53" w:rsidP="00B35F53">
            <w:pPr>
              <w:spacing w:after="0"/>
            </w:pPr>
            <w:r w:rsidRPr="00914183">
              <w:t>We will actively eliminate or minimise the potential for environmental harm resulting from our engineering choices and physical site operations:</w:t>
            </w:r>
          </w:p>
          <w:p w14:paraId="37F0FB2A" w14:textId="77777777" w:rsidR="00B35F53" w:rsidRPr="00914183" w:rsidRDefault="00B35F53" w:rsidP="00B35F53">
            <w:pPr>
              <w:spacing w:after="0"/>
            </w:pPr>
          </w:p>
          <w:p w14:paraId="5CA35DAA" w14:textId="6FD3E24C" w:rsidR="00B35F53" w:rsidRPr="00914183" w:rsidRDefault="00B35F53" w:rsidP="00B35F53">
            <w:pPr>
              <w:pStyle w:val="ListParagraph"/>
              <w:numPr>
                <w:ilvl w:val="0"/>
                <w:numId w:val="7"/>
              </w:numPr>
              <w:spacing w:after="0"/>
              <w:ind w:left="415"/>
            </w:pPr>
            <w:r w:rsidRPr="00914183">
              <w:t>Design-Led Prevention: Embedding erosion and sediment control (ESC), stormwater quality management and noise/vibration mitigation measures directly into our standard drawing packages.</w:t>
            </w:r>
          </w:p>
          <w:p w14:paraId="2D6EDA93" w14:textId="2E9D78A5" w:rsidR="00CF3773" w:rsidRPr="00914183" w:rsidRDefault="00B35F53" w:rsidP="00B35F53">
            <w:pPr>
              <w:pStyle w:val="ListParagraph"/>
              <w:numPr>
                <w:ilvl w:val="0"/>
                <w:numId w:val="7"/>
              </w:numPr>
              <w:spacing w:after="0"/>
              <w:ind w:left="415"/>
            </w:pPr>
            <w:r w:rsidRPr="00914183">
              <w:t>Site Management: Ensuring our field operations strictly control dust, waste generation and accidental contaminant spills during geotechnical testing and surveying.</w:t>
            </w:r>
          </w:p>
        </w:tc>
      </w:tr>
      <w:tr w:rsidR="00CF3773" w:rsidRPr="00486B1A" w14:paraId="2C073C51" w14:textId="77777777" w:rsidTr="008049ED">
        <w:tc>
          <w:tcPr>
            <w:tcW w:w="2119" w:type="dxa"/>
            <w:tcMar>
              <w:top w:w="150" w:type="dxa"/>
              <w:left w:w="150" w:type="dxa"/>
              <w:bottom w:w="150" w:type="dxa"/>
              <w:right w:w="150" w:type="dxa"/>
            </w:tcMar>
          </w:tcPr>
          <w:p w14:paraId="614959A4" w14:textId="5B1547F7" w:rsidR="00CF3773" w:rsidRPr="00B60463" w:rsidRDefault="00EF5C7D" w:rsidP="00C06859">
            <w:pPr>
              <w:spacing w:after="0"/>
              <w:rPr>
                <w:b/>
                <w:bCs/>
              </w:rPr>
            </w:pPr>
            <w:r w:rsidRPr="00EF5C7D">
              <w:rPr>
                <w:b/>
                <w:bCs/>
              </w:rPr>
              <w:t>Strict Legal &amp; Compliance Adherence</w:t>
            </w:r>
          </w:p>
        </w:tc>
        <w:tc>
          <w:tcPr>
            <w:tcW w:w="6945" w:type="dxa"/>
            <w:tcMar>
              <w:top w:w="150" w:type="dxa"/>
              <w:left w:w="150" w:type="dxa"/>
              <w:bottom w:w="150" w:type="dxa"/>
              <w:right w:w="150" w:type="dxa"/>
            </w:tcMar>
            <w:hideMark/>
          </w:tcPr>
          <w:p w14:paraId="5670A71D" w14:textId="77777777" w:rsidR="00EF5C7D" w:rsidRPr="00914183" w:rsidRDefault="00EF5C7D" w:rsidP="00EF5C7D">
            <w:pPr>
              <w:spacing w:after="0"/>
            </w:pPr>
            <w:r w:rsidRPr="00914183">
              <w:t>We maintain a live legislation register ensuring all civil designs meet or exceed applicable statutory rules, including:</w:t>
            </w:r>
          </w:p>
          <w:p w14:paraId="60D87AFB" w14:textId="77777777" w:rsidR="007F05A3" w:rsidRPr="00914183" w:rsidRDefault="007F05A3" w:rsidP="00EF5C7D">
            <w:pPr>
              <w:spacing w:after="0"/>
            </w:pPr>
          </w:p>
          <w:p w14:paraId="3AC7EFA8" w14:textId="68C1D14D" w:rsidR="00EF5C7D" w:rsidRPr="00914183" w:rsidRDefault="00EF5C7D" w:rsidP="00EF5C7D">
            <w:pPr>
              <w:pStyle w:val="ListParagraph"/>
              <w:numPr>
                <w:ilvl w:val="0"/>
                <w:numId w:val="7"/>
              </w:numPr>
              <w:spacing w:after="0"/>
              <w:ind w:left="415"/>
            </w:pPr>
            <w:r w:rsidRPr="00914183">
              <w:t>State Environmental Protection: Complying with state-based legislation</w:t>
            </w:r>
            <w:r w:rsidR="007F05A3" w:rsidRPr="00914183">
              <w:t>.</w:t>
            </w:r>
            <w:r w:rsidRPr="00914183">
              <w:t xml:space="preserve"> </w:t>
            </w:r>
          </w:p>
          <w:p w14:paraId="5600CFD4" w14:textId="5F3E395A" w:rsidR="00CF3773" w:rsidRPr="00914183" w:rsidRDefault="00EF5C7D" w:rsidP="00C06859">
            <w:pPr>
              <w:pStyle w:val="ListParagraph"/>
              <w:numPr>
                <w:ilvl w:val="0"/>
                <w:numId w:val="7"/>
              </w:numPr>
              <w:spacing w:after="0"/>
              <w:ind w:left="415"/>
            </w:pPr>
            <w:r w:rsidRPr="00914183">
              <w:t xml:space="preserve">Planning &amp; Ecology: Aligning design workflows with local council Local Environmental Plans (LEPs), state planning policies (SEPPs), </w:t>
            </w:r>
            <w:r w:rsidRPr="00914183">
              <w:lastRenderedPageBreak/>
              <w:t xml:space="preserve">and the </w:t>
            </w:r>
            <w:r w:rsidRPr="00914183">
              <w:rPr>
                <w:i/>
                <w:iCs/>
              </w:rPr>
              <w:t>Environment Protection and Biodiversity Conservation Act 1999</w:t>
            </w:r>
            <w:r w:rsidRPr="00914183">
              <w:t xml:space="preserve"> (</w:t>
            </w:r>
            <w:proofErr w:type="spellStart"/>
            <w:r w:rsidRPr="00914183">
              <w:t>Cth</w:t>
            </w:r>
            <w:proofErr w:type="spellEnd"/>
            <w:r w:rsidRPr="00914183">
              <w:t>).</w:t>
            </w:r>
          </w:p>
        </w:tc>
      </w:tr>
      <w:tr w:rsidR="00CF3773" w:rsidRPr="00486B1A" w14:paraId="04F65059" w14:textId="77777777" w:rsidTr="008049ED">
        <w:tc>
          <w:tcPr>
            <w:tcW w:w="2119" w:type="dxa"/>
            <w:tcMar>
              <w:top w:w="150" w:type="dxa"/>
              <w:left w:w="150" w:type="dxa"/>
              <w:bottom w:w="150" w:type="dxa"/>
              <w:right w:w="150" w:type="dxa"/>
            </w:tcMar>
          </w:tcPr>
          <w:p w14:paraId="2CA1B3FD" w14:textId="257D06EA" w:rsidR="00CF3773" w:rsidRPr="00B60463" w:rsidRDefault="00C82326" w:rsidP="00C06859">
            <w:pPr>
              <w:spacing w:after="0"/>
              <w:rPr>
                <w:b/>
                <w:bCs/>
              </w:rPr>
            </w:pPr>
            <w:r w:rsidRPr="00C82326">
              <w:rPr>
                <w:b/>
                <w:bCs/>
              </w:rPr>
              <w:lastRenderedPageBreak/>
              <w:t>Lifecycle-Based Sustainability &amp; Resource Efficiency</w:t>
            </w:r>
          </w:p>
        </w:tc>
        <w:tc>
          <w:tcPr>
            <w:tcW w:w="6945" w:type="dxa"/>
            <w:tcMar>
              <w:top w:w="150" w:type="dxa"/>
              <w:left w:w="150" w:type="dxa"/>
              <w:bottom w:w="150" w:type="dxa"/>
              <w:right w:w="150" w:type="dxa"/>
            </w:tcMar>
            <w:hideMark/>
          </w:tcPr>
          <w:p w14:paraId="362632CB" w14:textId="77777777" w:rsidR="00C82326" w:rsidRPr="00914183" w:rsidRDefault="00C82326" w:rsidP="00C82326">
            <w:pPr>
              <w:spacing w:after="0"/>
            </w:pPr>
            <w:r w:rsidRPr="00C82326">
              <w:t xml:space="preserve">Velocity Civil applies a </w:t>
            </w:r>
            <w:r w:rsidRPr="00914183">
              <w:t>strict lifecycle perspective to engineering mechanics, structural design, and material specifications:</w:t>
            </w:r>
          </w:p>
          <w:p w14:paraId="5D4472E8" w14:textId="77777777" w:rsidR="007F05A3" w:rsidRPr="00914183" w:rsidRDefault="007F05A3" w:rsidP="00C82326">
            <w:pPr>
              <w:spacing w:after="0"/>
            </w:pPr>
          </w:p>
          <w:p w14:paraId="72776132" w14:textId="6BF2CDD1" w:rsidR="00C82326" w:rsidRPr="00914183" w:rsidRDefault="00C82326" w:rsidP="00C82326">
            <w:pPr>
              <w:numPr>
                <w:ilvl w:val="0"/>
                <w:numId w:val="10"/>
              </w:numPr>
              <w:spacing w:after="0"/>
            </w:pPr>
            <w:r w:rsidRPr="00914183">
              <w:t>Material Selection: Specifying low-carbon concrete mixes, recycled road base aggregates and sustainably sourced structural steel layouts whenever structurally viable.</w:t>
            </w:r>
          </w:p>
          <w:p w14:paraId="5282AC1A" w14:textId="2E9892C3" w:rsidR="00CF3773" w:rsidRPr="00E917B9" w:rsidRDefault="00C82326" w:rsidP="00C06859">
            <w:pPr>
              <w:numPr>
                <w:ilvl w:val="0"/>
                <w:numId w:val="10"/>
              </w:numPr>
              <w:spacing w:after="0"/>
            </w:pPr>
            <w:r w:rsidRPr="00914183">
              <w:t>Asset Resilience: Engineering civil infrastructure to withstand climate change impacts, extreme weather events and locali</w:t>
            </w:r>
            <w:r w:rsidR="007F05A3" w:rsidRPr="00914183">
              <w:t>s</w:t>
            </w:r>
            <w:r w:rsidRPr="00914183">
              <w:t>ed flooding while minimi</w:t>
            </w:r>
            <w:r w:rsidR="00914183">
              <w:t>s</w:t>
            </w:r>
            <w:r w:rsidRPr="00914183">
              <w:t>ing long-term operational carbon output.</w:t>
            </w:r>
          </w:p>
        </w:tc>
      </w:tr>
      <w:tr w:rsidR="00C82326" w:rsidRPr="00486B1A" w14:paraId="4AA09D3C" w14:textId="77777777" w:rsidTr="008049ED">
        <w:tc>
          <w:tcPr>
            <w:tcW w:w="2119" w:type="dxa"/>
            <w:tcMar>
              <w:top w:w="150" w:type="dxa"/>
              <w:left w:w="150" w:type="dxa"/>
              <w:bottom w:w="150" w:type="dxa"/>
              <w:right w:w="150" w:type="dxa"/>
            </w:tcMar>
          </w:tcPr>
          <w:p w14:paraId="69FC6E50" w14:textId="4D928571" w:rsidR="00C82326" w:rsidRPr="00C82326" w:rsidRDefault="00C136EB" w:rsidP="00C06859">
            <w:pPr>
              <w:spacing w:after="0"/>
              <w:rPr>
                <w:b/>
                <w:bCs/>
              </w:rPr>
            </w:pPr>
            <w:r w:rsidRPr="00C136EB">
              <w:rPr>
                <w:b/>
                <w:bCs/>
              </w:rPr>
              <w:t>Setting Measurable Environmental Objectives</w:t>
            </w:r>
          </w:p>
        </w:tc>
        <w:tc>
          <w:tcPr>
            <w:tcW w:w="6945" w:type="dxa"/>
            <w:tcMar>
              <w:top w:w="150" w:type="dxa"/>
              <w:left w:w="150" w:type="dxa"/>
              <w:bottom w:w="150" w:type="dxa"/>
              <w:right w:w="150" w:type="dxa"/>
            </w:tcMar>
          </w:tcPr>
          <w:p w14:paraId="1420D539" w14:textId="6BD9A35A" w:rsidR="00C82326" w:rsidRPr="00C82326" w:rsidRDefault="00DD0BF8" w:rsidP="00C82326">
            <w:pPr>
              <w:spacing w:after="0"/>
            </w:pPr>
            <w:r w:rsidRPr="00DD0BF8">
              <w:t xml:space="preserve">This policy </w:t>
            </w:r>
            <w:r w:rsidR="00B3628D">
              <w:t>explains how</w:t>
            </w:r>
            <w:r w:rsidRPr="00DD0BF8">
              <w:t xml:space="preserve"> Velocity Civil establishes, monitors and reviews annual, quantified environmental targets during our formal Management Reviews. These targets focus on reducing corporate waste, expanding the percentage of specified green materials and eliminating design-related environmental non-conformances on construction sites.</w:t>
            </w:r>
          </w:p>
        </w:tc>
      </w:tr>
      <w:tr w:rsidR="00C136EB" w:rsidRPr="00486B1A" w14:paraId="21FABD68" w14:textId="77777777" w:rsidTr="008049ED">
        <w:tc>
          <w:tcPr>
            <w:tcW w:w="2119" w:type="dxa"/>
            <w:tcMar>
              <w:top w:w="150" w:type="dxa"/>
              <w:left w:w="150" w:type="dxa"/>
              <w:bottom w:w="150" w:type="dxa"/>
              <w:right w:w="150" w:type="dxa"/>
            </w:tcMar>
          </w:tcPr>
          <w:p w14:paraId="43F089B9" w14:textId="4BDAECEA" w:rsidR="00C136EB" w:rsidRPr="00C82326" w:rsidRDefault="00C136EB" w:rsidP="00C06859">
            <w:pPr>
              <w:spacing w:after="0"/>
              <w:rPr>
                <w:b/>
                <w:bCs/>
              </w:rPr>
            </w:pPr>
            <w:r w:rsidRPr="00C136EB">
              <w:rPr>
                <w:b/>
                <w:bCs/>
              </w:rPr>
              <w:t>Continual Improvement of the EMS</w:t>
            </w:r>
          </w:p>
        </w:tc>
        <w:tc>
          <w:tcPr>
            <w:tcW w:w="6945" w:type="dxa"/>
            <w:tcMar>
              <w:top w:w="150" w:type="dxa"/>
              <w:left w:w="150" w:type="dxa"/>
              <w:bottom w:w="150" w:type="dxa"/>
              <w:right w:w="150" w:type="dxa"/>
            </w:tcMar>
          </w:tcPr>
          <w:p w14:paraId="7DE053C6" w14:textId="562441B4" w:rsidR="00C136EB" w:rsidRPr="00C82326" w:rsidRDefault="00DD0BF8" w:rsidP="00C82326">
            <w:pPr>
              <w:spacing w:after="0"/>
            </w:pPr>
            <w:r w:rsidRPr="00DD0BF8">
              <w:t>We will consistently audit, refine and upgrade our internal Environmental Management System (EMS) processes to enhance overall organisational environmental performance, adapting to new sustainable engineering technologies as they emerge</w:t>
            </w:r>
            <w:r w:rsidR="00B3628D">
              <w:t>.</w:t>
            </w:r>
          </w:p>
        </w:tc>
      </w:tr>
    </w:tbl>
    <w:p w14:paraId="6375CF61" w14:textId="77777777" w:rsidR="00D50E11" w:rsidRPr="00D50E11" w:rsidRDefault="00D50E11" w:rsidP="00C06859">
      <w:pPr>
        <w:pStyle w:val="Heading3"/>
        <w:spacing w:before="0" w:after="0"/>
        <w:rPr>
          <w:sz w:val="24"/>
          <w:szCs w:val="24"/>
        </w:rPr>
      </w:pPr>
    </w:p>
    <w:p w14:paraId="56D891BE" w14:textId="48191381" w:rsidR="00486B1A" w:rsidRDefault="00486B1A" w:rsidP="00C06859">
      <w:pPr>
        <w:pStyle w:val="Heading3"/>
        <w:spacing w:before="0" w:after="0"/>
      </w:pPr>
      <w:r w:rsidRPr="00486B1A">
        <w:t xml:space="preserve">Section C: </w:t>
      </w:r>
      <w:r w:rsidR="00DD0BF8">
        <w:t>Roles and Responsibilities</w:t>
      </w:r>
    </w:p>
    <w:p w14:paraId="5F19DB0F" w14:textId="77777777" w:rsidR="009356A2" w:rsidRPr="009356A2" w:rsidRDefault="009356A2" w:rsidP="009356A2"/>
    <w:tbl>
      <w:tblPr>
        <w:tblW w:w="9064" w:type="dxa"/>
        <w:tblBorders>
          <w:top w:val="single" w:sz="4" w:space="0" w:color="153D63" w:themeColor="text2" w:themeTint="E6"/>
          <w:left w:val="single" w:sz="4" w:space="0" w:color="153D63" w:themeColor="text2" w:themeTint="E6"/>
          <w:bottom w:val="single" w:sz="4" w:space="0" w:color="153D63" w:themeColor="text2" w:themeTint="E6"/>
          <w:right w:val="single" w:sz="4" w:space="0" w:color="153D63" w:themeColor="text2" w:themeTint="E6"/>
          <w:insideH w:val="single" w:sz="4" w:space="0" w:color="153D63" w:themeColor="text2" w:themeTint="E6"/>
          <w:insideV w:val="single" w:sz="4" w:space="0" w:color="153D63" w:themeColor="text2" w:themeTint="E6"/>
        </w:tblBorders>
        <w:tblCellMar>
          <w:top w:w="15" w:type="dxa"/>
          <w:left w:w="15" w:type="dxa"/>
          <w:bottom w:w="15" w:type="dxa"/>
          <w:right w:w="15" w:type="dxa"/>
        </w:tblCellMar>
        <w:tblLook w:val="04A0" w:firstRow="1" w:lastRow="0" w:firstColumn="1" w:lastColumn="0" w:noHBand="0" w:noVBand="1"/>
      </w:tblPr>
      <w:tblGrid>
        <w:gridCol w:w="2119"/>
        <w:gridCol w:w="6945"/>
      </w:tblGrid>
      <w:tr w:rsidR="00E64AF6" w:rsidRPr="00486B1A" w14:paraId="44212E6D" w14:textId="77777777" w:rsidTr="008049ED">
        <w:trPr>
          <w:cantSplit/>
        </w:trPr>
        <w:tc>
          <w:tcPr>
            <w:tcW w:w="9064" w:type="dxa"/>
            <w:gridSpan w:val="2"/>
            <w:shd w:val="clear" w:color="auto" w:fill="1A365D"/>
            <w:tcMar>
              <w:top w:w="150" w:type="dxa"/>
              <w:left w:w="150" w:type="dxa"/>
              <w:bottom w:w="150" w:type="dxa"/>
              <w:right w:w="150" w:type="dxa"/>
            </w:tcMar>
            <w:hideMark/>
          </w:tcPr>
          <w:p w14:paraId="35B03655" w14:textId="0EE24418" w:rsidR="00E64AF6" w:rsidRPr="00486B1A" w:rsidRDefault="006F43E1" w:rsidP="00C06859">
            <w:pPr>
              <w:spacing w:after="0"/>
              <w:rPr>
                <w:b/>
                <w:bCs/>
              </w:rPr>
            </w:pPr>
            <w:r w:rsidRPr="006F43E1">
              <w:rPr>
                <w:b/>
                <w:bCs/>
              </w:rPr>
              <w:t>This section defines the mandatory accountability and statutory duties required at every level of Velocity Civil to maintain absolute engineering governance, safety compliance and ISO certification standards.</w:t>
            </w:r>
          </w:p>
        </w:tc>
      </w:tr>
      <w:tr w:rsidR="00E64AF6" w:rsidRPr="00486B1A" w14:paraId="1AA0B22A" w14:textId="77777777" w:rsidTr="008049ED">
        <w:tc>
          <w:tcPr>
            <w:tcW w:w="2119" w:type="dxa"/>
            <w:tcMar>
              <w:top w:w="150" w:type="dxa"/>
              <w:left w:w="150" w:type="dxa"/>
              <w:bottom w:w="150" w:type="dxa"/>
              <w:right w:w="150" w:type="dxa"/>
            </w:tcMar>
          </w:tcPr>
          <w:p w14:paraId="47FED361" w14:textId="78D2D7DB" w:rsidR="00197061" w:rsidRPr="00F45DC7" w:rsidRDefault="005B4DBD" w:rsidP="00C06859">
            <w:pPr>
              <w:spacing w:after="0"/>
              <w:rPr>
                <w:b/>
                <w:bCs/>
              </w:rPr>
            </w:pPr>
            <w:r w:rsidRPr="005B4DBD">
              <w:rPr>
                <w:b/>
                <w:bCs/>
              </w:rPr>
              <w:t>Top Management (Managing Director / Board)</w:t>
            </w:r>
          </w:p>
        </w:tc>
        <w:tc>
          <w:tcPr>
            <w:tcW w:w="6945" w:type="dxa"/>
            <w:tcMar>
              <w:top w:w="150" w:type="dxa"/>
              <w:left w:w="150" w:type="dxa"/>
              <w:bottom w:w="150" w:type="dxa"/>
              <w:right w:w="150" w:type="dxa"/>
            </w:tcMar>
            <w:hideMark/>
          </w:tcPr>
          <w:p w14:paraId="16000A88" w14:textId="4E489778" w:rsidR="00E64AF6" w:rsidRPr="00486B1A" w:rsidRDefault="00DE4D47" w:rsidP="009F4F89">
            <w:pPr>
              <w:pStyle w:val="ListParagraph"/>
              <w:numPr>
                <w:ilvl w:val="0"/>
                <w:numId w:val="7"/>
              </w:numPr>
              <w:spacing w:after="0"/>
              <w:ind w:left="415"/>
            </w:pPr>
            <w:r w:rsidRPr="00DE4D47">
              <w:t>Retains ultimate responsibility for provision of resources, structural oversight, and strategic alignment of the EMS with corporate objectives.</w:t>
            </w:r>
          </w:p>
        </w:tc>
      </w:tr>
      <w:tr w:rsidR="00E64AF6" w:rsidRPr="00486B1A" w14:paraId="6EAFA13D" w14:textId="77777777" w:rsidTr="008049ED">
        <w:tc>
          <w:tcPr>
            <w:tcW w:w="2119" w:type="dxa"/>
            <w:tcMar>
              <w:top w:w="150" w:type="dxa"/>
              <w:left w:w="150" w:type="dxa"/>
              <w:bottom w:w="150" w:type="dxa"/>
              <w:right w:w="150" w:type="dxa"/>
            </w:tcMar>
          </w:tcPr>
          <w:p w14:paraId="21DFB5EC" w14:textId="522A5A2A" w:rsidR="00197061" w:rsidRPr="00F45DC7" w:rsidRDefault="005B4DBD" w:rsidP="00C06859">
            <w:pPr>
              <w:spacing w:after="0"/>
              <w:rPr>
                <w:b/>
                <w:bCs/>
              </w:rPr>
            </w:pPr>
            <w:r w:rsidRPr="005B4DBD">
              <w:rPr>
                <w:b/>
                <w:bCs/>
              </w:rPr>
              <w:t xml:space="preserve">Principal Civil Engineer </w:t>
            </w:r>
          </w:p>
        </w:tc>
        <w:tc>
          <w:tcPr>
            <w:tcW w:w="6945" w:type="dxa"/>
            <w:tcMar>
              <w:top w:w="150" w:type="dxa"/>
              <w:left w:w="150" w:type="dxa"/>
              <w:bottom w:w="150" w:type="dxa"/>
              <w:right w:w="150" w:type="dxa"/>
            </w:tcMar>
            <w:hideMark/>
          </w:tcPr>
          <w:p w14:paraId="1E52EF36" w14:textId="6A546C41" w:rsidR="00E64AF6" w:rsidRPr="00486B1A" w:rsidRDefault="00DE4D47" w:rsidP="009F4F89">
            <w:pPr>
              <w:pStyle w:val="ListParagraph"/>
              <w:numPr>
                <w:ilvl w:val="0"/>
                <w:numId w:val="7"/>
              </w:numPr>
              <w:spacing w:after="0"/>
              <w:ind w:left="415"/>
            </w:pPr>
            <w:r w:rsidRPr="00DE4D47">
              <w:t>Responsible for ensuring engineering design methodologies incorporate sustainable material parameters and strictly adhere to statutory environmental codes.</w:t>
            </w:r>
          </w:p>
        </w:tc>
      </w:tr>
      <w:tr w:rsidR="00697612" w:rsidRPr="00486B1A" w14:paraId="0F114F9D" w14:textId="77777777" w:rsidTr="008049ED">
        <w:tc>
          <w:tcPr>
            <w:tcW w:w="2119" w:type="dxa"/>
            <w:tcMar>
              <w:top w:w="150" w:type="dxa"/>
              <w:left w:w="150" w:type="dxa"/>
              <w:bottom w:w="150" w:type="dxa"/>
              <w:right w:w="150" w:type="dxa"/>
            </w:tcMar>
          </w:tcPr>
          <w:p w14:paraId="66C61347" w14:textId="1C26CB1B" w:rsidR="00A3685F" w:rsidRPr="00F45DC7" w:rsidRDefault="005B4DBD" w:rsidP="00C06859">
            <w:pPr>
              <w:spacing w:after="0"/>
              <w:rPr>
                <w:b/>
                <w:bCs/>
              </w:rPr>
            </w:pPr>
            <w:r w:rsidRPr="005B4DBD">
              <w:rPr>
                <w:b/>
                <w:bCs/>
              </w:rPr>
              <w:t>Project Managers &amp; Design Leads</w:t>
            </w:r>
          </w:p>
        </w:tc>
        <w:tc>
          <w:tcPr>
            <w:tcW w:w="6945" w:type="dxa"/>
            <w:tcMar>
              <w:top w:w="150" w:type="dxa"/>
              <w:left w:w="150" w:type="dxa"/>
              <w:bottom w:w="150" w:type="dxa"/>
              <w:right w:w="150" w:type="dxa"/>
            </w:tcMar>
          </w:tcPr>
          <w:p w14:paraId="57DE87EC" w14:textId="60CA5FF0" w:rsidR="00697612" w:rsidRPr="006233FD" w:rsidRDefault="00DE4D47" w:rsidP="00C20BDA">
            <w:pPr>
              <w:pStyle w:val="ListParagraph"/>
              <w:numPr>
                <w:ilvl w:val="0"/>
                <w:numId w:val="7"/>
              </w:numPr>
              <w:spacing w:after="0"/>
              <w:ind w:left="415"/>
            </w:pPr>
            <w:r w:rsidRPr="00DE4D47">
              <w:t>Responsible for implementing project-specific Site Environmental Management Plans (SEMPs), maintaining the project Aspects and Impacts Register, and conducting regulatory compliance checks before design finalisation.</w:t>
            </w:r>
          </w:p>
        </w:tc>
      </w:tr>
      <w:tr w:rsidR="005B4DBD" w:rsidRPr="00486B1A" w14:paraId="5F07C35F" w14:textId="77777777" w:rsidTr="008049ED">
        <w:tc>
          <w:tcPr>
            <w:tcW w:w="2119" w:type="dxa"/>
            <w:tcMar>
              <w:top w:w="150" w:type="dxa"/>
              <w:left w:w="150" w:type="dxa"/>
              <w:bottom w:w="150" w:type="dxa"/>
              <w:right w:w="150" w:type="dxa"/>
            </w:tcMar>
          </w:tcPr>
          <w:p w14:paraId="6D91CA33" w14:textId="7189E188" w:rsidR="005B4DBD" w:rsidRPr="005B4DBD" w:rsidRDefault="005B4DBD" w:rsidP="00C06859">
            <w:pPr>
              <w:spacing w:after="0"/>
              <w:rPr>
                <w:b/>
                <w:bCs/>
              </w:rPr>
            </w:pPr>
            <w:r w:rsidRPr="005B4DBD">
              <w:rPr>
                <w:b/>
                <w:bCs/>
              </w:rPr>
              <w:t>All Employees &amp; Sub-consultants</w:t>
            </w:r>
          </w:p>
        </w:tc>
        <w:tc>
          <w:tcPr>
            <w:tcW w:w="6945" w:type="dxa"/>
            <w:tcMar>
              <w:top w:w="150" w:type="dxa"/>
              <w:left w:w="150" w:type="dxa"/>
              <w:bottom w:w="150" w:type="dxa"/>
              <w:right w:w="150" w:type="dxa"/>
            </w:tcMar>
          </w:tcPr>
          <w:p w14:paraId="0D06F593" w14:textId="718D54C3" w:rsidR="005B4DBD" w:rsidRPr="009F4F89" w:rsidRDefault="00DE4D47" w:rsidP="009F4F89">
            <w:pPr>
              <w:pStyle w:val="ListParagraph"/>
              <w:numPr>
                <w:ilvl w:val="0"/>
                <w:numId w:val="7"/>
              </w:numPr>
              <w:spacing w:after="0"/>
              <w:ind w:left="415"/>
            </w:pPr>
            <w:r w:rsidRPr="00DE4D47">
              <w:t>Accountable for adhering to environmental procedures, identifying environmental risks and reporting any incidents or potential compliance non-conformances immediately.</w:t>
            </w:r>
          </w:p>
        </w:tc>
      </w:tr>
    </w:tbl>
    <w:p w14:paraId="1906D1ED" w14:textId="77777777" w:rsidR="00E64AF6" w:rsidRDefault="00E64AF6" w:rsidP="00C06859">
      <w:pPr>
        <w:spacing w:after="0"/>
      </w:pPr>
    </w:p>
    <w:p w14:paraId="7A851697" w14:textId="1F0ACC99" w:rsidR="005B7CDB" w:rsidRDefault="005B7CDB" w:rsidP="00C06859">
      <w:pPr>
        <w:pStyle w:val="Heading3"/>
        <w:spacing w:before="0" w:after="0"/>
      </w:pPr>
      <w:r w:rsidRPr="00486B1A">
        <w:t xml:space="preserve">Section </w:t>
      </w:r>
      <w:r>
        <w:t>D</w:t>
      </w:r>
      <w:r w:rsidRPr="00486B1A">
        <w:t xml:space="preserve">: </w:t>
      </w:r>
      <w:r w:rsidR="00DE4D47">
        <w:t>Communication and Accessibility</w:t>
      </w:r>
    </w:p>
    <w:p w14:paraId="734DDB3C" w14:textId="77777777" w:rsidR="009356A2" w:rsidRPr="009356A2" w:rsidRDefault="009356A2" w:rsidP="009356A2"/>
    <w:tbl>
      <w:tblPr>
        <w:tblW w:w="9064" w:type="dxa"/>
        <w:tblBorders>
          <w:top w:val="single" w:sz="4" w:space="0" w:color="153D63" w:themeColor="text2" w:themeTint="E6"/>
          <w:left w:val="single" w:sz="4" w:space="0" w:color="153D63" w:themeColor="text2" w:themeTint="E6"/>
          <w:bottom w:val="single" w:sz="4" w:space="0" w:color="153D63" w:themeColor="text2" w:themeTint="E6"/>
          <w:right w:val="single" w:sz="4" w:space="0" w:color="153D63" w:themeColor="text2" w:themeTint="E6"/>
          <w:insideH w:val="single" w:sz="4" w:space="0" w:color="153D63" w:themeColor="text2" w:themeTint="E6"/>
          <w:insideV w:val="single" w:sz="4" w:space="0" w:color="153D63" w:themeColor="text2" w:themeTint="E6"/>
        </w:tblBorders>
        <w:tblCellMar>
          <w:top w:w="15" w:type="dxa"/>
          <w:left w:w="15" w:type="dxa"/>
          <w:bottom w:w="15" w:type="dxa"/>
          <w:right w:w="15" w:type="dxa"/>
        </w:tblCellMar>
        <w:tblLook w:val="04A0" w:firstRow="1" w:lastRow="0" w:firstColumn="1" w:lastColumn="0" w:noHBand="0" w:noVBand="1"/>
      </w:tblPr>
      <w:tblGrid>
        <w:gridCol w:w="2119"/>
        <w:gridCol w:w="6945"/>
      </w:tblGrid>
      <w:tr w:rsidR="005B7CDB" w:rsidRPr="00486B1A" w14:paraId="1D8920DF" w14:textId="77777777" w:rsidTr="008049ED">
        <w:trPr>
          <w:cantSplit/>
        </w:trPr>
        <w:tc>
          <w:tcPr>
            <w:tcW w:w="9064" w:type="dxa"/>
            <w:gridSpan w:val="2"/>
            <w:shd w:val="clear" w:color="auto" w:fill="1A365D"/>
            <w:tcMar>
              <w:top w:w="150" w:type="dxa"/>
              <w:left w:w="150" w:type="dxa"/>
              <w:bottom w:w="150" w:type="dxa"/>
              <w:right w:w="150" w:type="dxa"/>
            </w:tcMar>
            <w:hideMark/>
          </w:tcPr>
          <w:p w14:paraId="5EC097B7" w14:textId="3668E0EA" w:rsidR="005B7CDB" w:rsidRPr="00486B1A" w:rsidRDefault="00551650" w:rsidP="00C06859">
            <w:pPr>
              <w:spacing w:after="0"/>
              <w:rPr>
                <w:b/>
                <w:bCs/>
              </w:rPr>
            </w:pPr>
            <w:r w:rsidRPr="00551650">
              <w:rPr>
                <w:b/>
                <w:bCs/>
              </w:rPr>
              <w:t>This policy is documented, maintained within the digital corporate library, and communicated to all internal personnel and external sub-consultants during onboarding and project kick-off briefs.</w:t>
            </w:r>
          </w:p>
        </w:tc>
      </w:tr>
      <w:tr w:rsidR="00185216" w:rsidRPr="00486B1A" w14:paraId="4D2E6EB3" w14:textId="77777777" w:rsidTr="006C4D74">
        <w:tc>
          <w:tcPr>
            <w:tcW w:w="2119" w:type="dxa"/>
            <w:tcMar>
              <w:top w:w="150" w:type="dxa"/>
              <w:left w:w="150" w:type="dxa"/>
              <w:bottom w:w="150" w:type="dxa"/>
              <w:right w:w="150" w:type="dxa"/>
            </w:tcMar>
          </w:tcPr>
          <w:p w14:paraId="2301602C" w14:textId="182227D9" w:rsidR="00185216" w:rsidRPr="00F45DC7" w:rsidRDefault="00551650" w:rsidP="006C4D74">
            <w:pPr>
              <w:spacing w:after="0"/>
              <w:rPr>
                <w:b/>
                <w:bCs/>
              </w:rPr>
            </w:pPr>
            <w:r>
              <w:rPr>
                <w:b/>
                <w:bCs/>
              </w:rPr>
              <w:t>Public Transparency</w:t>
            </w:r>
          </w:p>
        </w:tc>
        <w:tc>
          <w:tcPr>
            <w:tcW w:w="6945" w:type="dxa"/>
            <w:tcMar>
              <w:top w:w="150" w:type="dxa"/>
              <w:left w:w="150" w:type="dxa"/>
              <w:bottom w:w="150" w:type="dxa"/>
              <w:right w:w="150" w:type="dxa"/>
            </w:tcMar>
            <w:hideMark/>
          </w:tcPr>
          <w:p w14:paraId="7C6516F3" w14:textId="3E9F5E1C" w:rsidR="00185216" w:rsidRPr="00486B1A" w:rsidRDefault="00551650" w:rsidP="006C4D74">
            <w:pPr>
              <w:spacing w:after="0"/>
            </w:pPr>
            <w:r w:rsidRPr="00551650">
              <w:t>In accordance with ISO 14001, this policy directive is a public document and is accessible to clients, regulatory authorities</w:t>
            </w:r>
            <w:r w:rsidR="00C2341B">
              <w:t xml:space="preserve"> and</w:t>
            </w:r>
            <w:r w:rsidRPr="00551650">
              <w:t xml:space="preserve"> principal contractors via the Velocity Civil website.</w:t>
            </w:r>
          </w:p>
        </w:tc>
      </w:tr>
    </w:tbl>
    <w:p w14:paraId="06533DC7" w14:textId="77777777" w:rsidR="00551650" w:rsidRDefault="00551650" w:rsidP="00C06859">
      <w:pPr>
        <w:pStyle w:val="Heading2"/>
        <w:spacing w:before="0" w:after="0"/>
      </w:pPr>
    </w:p>
    <w:p w14:paraId="6CC2215F" w14:textId="2CCE6DB3" w:rsidR="00511A5A" w:rsidRDefault="00511A5A" w:rsidP="00C06859">
      <w:pPr>
        <w:pStyle w:val="Heading2"/>
        <w:spacing w:before="0" w:after="0"/>
      </w:pPr>
      <w:r w:rsidRPr="00486B1A">
        <w:t xml:space="preserve">Section </w:t>
      </w:r>
      <w:r>
        <w:t>G: Document Control Register</w:t>
      </w:r>
    </w:p>
    <w:p w14:paraId="1960BADC" w14:textId="77777777" w:rsidR="009356A2" w:rsidRPr="009356A2" w:rsidRDefault="009356A2" w:rsidP="009356A2"/>
    <w:tbl>
      <w:tblPr>
        <w:tblW w:w="9067" w:type="dxa"/>
        <w:tblBorders>
          <w:top w:val="single" w:sz="4" w:space="0" w:color="153D63" w:themeColor="text2" w:themeTint="E6"/>
          <w:left w:val="single" w:sz="4" w:space="0" w:color="153D63" w:themeColor="text2" w:themeTint="E6"/>
          <w:bottom w:val="single" w:sz="4" w:space="0" w:color="153D63" w:themeColor="text2" w:themeTint="E6"/>
          <w:right w:val="single" w:sz="4" w:space="0" w:color="153D63" w:themeColor="text2" w:themeTint="E6"/>
          <w:insideH w:val="single" w:sz="4" w:space="0" w:color="153D63" w:themeColor="text2" w:themeTint="E6"/>
          <w:insideV w:val="single" w:sz="4" w:space="0" w:color="153D63" w:themeColor="text2" w:themeTint="E6"/>
        </w:tblBorders>
        <w:tblCellMar>
          <w:top w:w="15" w:type="dxa"/>
          <w:left w:w="15" w:type="dxa"/>
          <w:bottom w:w="15" w:type="dxa"/>
          <w:right w:w="15" w:type="dxa"/>
        </w:tblCellMar>
        <w:tblLook w:val="04A0" w:firstRow="1" w:lastRow="0" w:firstColumn="1" w:lastColumn="0" w:noHBand="0" w:noVBand="1"/>
      </w:tblPr>
      <w:tblGrid>
        <w:gridCol w:w="2315"/>
        <w:gridCol w:w="6752"/>
      </w:tblGrid>
      <w:tr w:rsidR="00511A5A" w:rsidRPr="00486B1A" w14:paraId="2471FDCF" w14:textId="77777777" w:rsidTr="00D67CC1">
        <w:tc>
          <w:tcPr>
            <w:tcW w:w="0" w:type="auto"/>
            <w:tcMar>
              <w:top w:w="150" w:type="dxa"/>
              <w:left w:w="150" w:type="dxa"/>
              <w:bottom w:w="150" w:type="dxa"/>
              <w:right w:w="150" w:type="dxa"/>
            </w:tcMar>
          </w:tcPr>
          <w:p w14:paraId="6E8725A1" w14:textId="20DC0AC7" w:rsidR="00511A5A" w:rsidRPr="00486B1A" w:rsidRDefault="00E85834" w:rsidP="00C06859">
            <w:pPr>
              <w:spacing w:after="0"/>
              <w:rPr>
                <w:b/>
                <w:bCs/>
              </w:rPr>
            </w:pPr>
            <w:r>
              <w:rPr>
                <w:b/>
                <w:bCs/>
              </w:rPr>
              <w:t>Document Identifier</w:t>
            </w:r>
          </w:p>
        </w:tc>
        <w:tc>
          <w:tcPr>
            <w:tcW w:w="6752" w:type="dxa"/>
            <w:tcMar>
              <w:top w:w="150" w:type="dxa"/>
              <w:left w:w="150" w:type="dxa"/>
              <w:bottom w:w="150" w:type="dxa"/>
              <w:right w:w="150" w:type="dxa"/>
            </w:tcMar>
          </w:tcPr>
          <w:p w14:paraId="51BB95E3" w14:textId="6CE6E6A8" w:rsidR="00511A5A" w:rsidRPr="00511A5A" w:rsidRDefault="00D25B15" w:rsidP="00C06859">
            <w:pPr>
              <w:spacing w:after="0"/>
            </w:pPr>
            <w:r>
              <w:t>VC-POL_</w:t>
            </w:r>
            <w:r w:rsidR="00551650">
              <w:t>ENV</w:t>
            </w:r>
            <w:r>
              <w:t>_00</w:t>
            </w:r>
            <w:r w:rsidR="00551650">
              <w:t>1</w:t>
            </w:r>
          </w:p>
        </w:tc>
      </w:tr>
      <w:tr w:rsidR="00511A5A" w:rsidRPr="00486B1A" w14:paraId="6F2FE411" w14:textId="77777777" w:rsidTr="00D67CC1">
        <w:tc>
          <w:tcPr>
            <w:tcW w:w="0" w:type="auto"/>
            <w:tcMar>
              <w:top w:w="150" w:type="dxa"/>
              <w:left w:w="150" w:type="dxa"/>
              <w:bottom w:w="150" w:type="dxa"/>
              <w:right w:w="150" w:type="dxa"/>
            </w:tcMar>
            <w:hideMark/>
          </w:tcPr>
          <w:p w14:paraId="4422A798" w14:textId="7FCA6EB9" w:rsidR="00511A5A" w:rsidRPr="00486B1A" w:rsidRDefault="00E85834" w:rsidP="00C06859">
            <w:pPr>
              <w:spacing w:after="0"/>
            </w:pPr>
            <w:r>
              <w:rPr>
                <w:b/>
                <w:bCs/>
              </w:rPr>
              <w:t>Current Version</w:t>
            </w:r>
          </w:p>
        </w:tc>
        <w:tc>
          <w:tcPr>
            <w:tcW w:w="6752" w:type="dxa"/>
            <w:tcMar>
              <w:top w:w="150" w:type="dxa"/>
              <w:left w:w="150" w:type="dxa"/>
              <w:bottom w:w="150" w:type="dxa"/>
              <w:right w:w="150" w:type="dxa"/>
            </w:tcMar>
            <w:hideMark/>
          </w:tcPr>
          <w:p w14:paraId="0084514F" w14:textId="67A8B653" w:rsidR="00511A5A" w:rsidRPr="00511A5A" w:rsidRDefault="00D25B15" w:rsidP="00C06859">
            <w:pPr>
              <w:spacing w:after="0"/>
            </w:pPr>
            <w:r>
              <w:t>1.0</w:t>
            </w:r>
          </w:p>
        </w:tc>
      </w:tr>
      <w:tr w:rsidR="00E85834" w:rsidRPr="00486B1A" w14:paraId="7E5FB521" w14:textId="77777777" w:rsidTr="00D67CC1">
        <w:tc>
          <w:tcPr>
            <w:tcW w:w="0" w:type="auto"/>
            <w:tcMar>
              <w:top w:w="150" w:type="dxa"/>
              <w:left w:w="150" w:type="dxa"/>
              <w:bottom w:w="150" w:type="dxa"/>
              <w:right w:w="150" w:type="dxa"/>
            </w:tcMar>
          </w:tcPr>
          <w:p w14:paraId="6B6CE092" w14:textId="2F611581" w:rsidR="00E85834" w:rsidRDefault="00E85834" w:rsidP="00C06859">
            <w:pPr>
              <w:spacing w:after="0"/>
              <w:rPr>
                <w:b/>
                <w:bCs/>
              </w:rPr>
            </w:pPr>
            <w:r>
              <w:rPr>
                <w:b/>
                <w:bCs/>
              </w:rPr>
              <w:t>Effective Date</w:t>
            </w:r>
          </w:p>
        </w:tc>
        <w:tc>
          <w:tcPr>
            <w:tcW w:w="6752" w:type="dxa"/>
            <w:tcMar>
              <w:top w:w="150" w:type="dxa"/>
              <w:left w:w="150" w:type="dxa"/>
              <w:bottom w:w="150" w:type="dxa"/>
              <w:right w:w="150" w:type="dxa"/>
            </w:tcMar>
          </w:tcPr>
          <w:p w14:paraId="4AF043A4" w14:textId="627BC62A" w:rsidR="00E85834" w:rsidRPr="00511A5A" w:rsidRDefault="00D67CC1" w:rsidP="00C06859">
            <w:pPr>
              <w:spacing w:after="0"/>
            </w:pPr>
            <w:r>
              <w:t>1</w:t>
            </w:r>
            <w:r w:rsidR="00641638">
              <w:t>5</w:t>
            </w:r>
            <w:r>
              <w:t>/07/2026</w:t>
            </w:r>
          </w:p>
        </w:tc>
      </w:tr>
      <w:tr w:rsidR="00E85834" w:rsidRPr="00486B1A" w14:paraId="3118AF8E" w14:textId="77777777" w:rsidTr="00D67CC1">
        <w:tc>
          <w:tcPr>
            <w:tcW w:w="0" w:type="auto"/>
            <w:tcMar>
              <w:top w:w="150" w:type="dxa"/>
              <w:left w:w="150" w:type="dxa"/>
              <w:bottom w:w="150" w:type="dxa"/>
              <w:right w:w="150" w:type="dxa"/>
            </w:tcMar>
          </w:tcPr>
          <w:p w14:paraId="66E68011" w14:textId="1B06A0A6" w:rsidR="00E85834" w:rsidRDefault="00E85834" w:rsidP="00C06859">
            <w:pPr>
              <w:spacing w:after="0"/>
              <w:rPr>
                <w:b/>
                <w:bCs/>
              </w:rPr>
            </w:pPr>
            <w:r>
              <w:rPr>
                <w:b/>
                <w:bCs/>
              </w:rPr>
              <w:t>Review Date</w:t>
            </w:r>
          </w:p>
        </w:tc>
        <w:tc>
          <w:tcPr>
            <w:tcW w:w="6752" w:type="dxa"/>
            <w:tcMar>
              <w:top w:w="150" w:type="dxa"/>
              <w:left w:w="150" w:type="dxa"/>
              <w:bottom w:w="150" w:type="dxa"/>
              <w:right w:w="150" w:type="dxa"/>
            </w:tcMar>
          </w:tcPr>
          <w:p w14:paraId="33CBEB90" w14:textId="6F642993" w:rsidR="00E85834" w:rsidRPr="00511A5A" w:rsidRDefault="00D67CC1" w:rsidP="00C06859">
            <w:pPr>
              <w:spacing w:after="0"/>
            </w:pPr>
            <w:r>
              <w:t>1</w:t>
            </w:r>
            <w:r w:rsidR="00641638">
              <w:t>5</w:t>
            </w:r>
            <w:r>
              <w:t>/07/2027</w:t>
            </w:r>
          </w:p>
        </w:tc>
      </w:tr>
      <w:tr w:rsidR="00E85834" w:rsidRPr="00486B1A" w14:paraId="29B34A12" w14:textId="77777777" w:rsidTr="00D67CC1">
        <w:tc>
          <w:tcPr>
            <w:tcW w:w="0" w:type="auto"/>
            <w:tcMar>
              <w:top w:w="150" w:type="dxa"/>
              <w:left w:w="150" w:type="dxa"/>
              <w:bottom w:w="150" w:type="dxa"/>
              <w:right w:w="150" w:type="dxa"/>
            </w:tcMar>
          </w:tcPr>
          <w:p w14:paraId="0054F546" w14:textId="77CADF36" w:rsidR="00E85834" w:rsidRDefault="00D25B15" w:rsidP="00C06859">
            <w:pPr>
              <w:spacing w:after="0"/>
              <w:rPr>
                <w:b/>
                <w:bCs/>
              </w:rPr>
            </w:pPr>
            <w:r>
              <w:rPr>
                <w:b/>
                <w:bCs/>
              </w:rPr>
              <w:t>Document Owner</w:t>
            </w:r>
          </w:p>
        </w:tc>
        <w:tc>
          <w:tcPr>
            <w:tcW w:w="6752" w:type="dxa"/>
            <w:tcMar>
              <w:top w:w="150" w:type="dxa"/>
              <w:left w:w="150" w:type="dxa"/>
              <w:bottom w:w="150" w:type="dxa"/>
              <w:right w:w="150" w:type="dxa"/>
            </w:tcMar>
          </w:tcPr>
          <w:p w14:paraId="56522DC9" w14:textId="0821DB7F" w:rsidR="00E85834" w:rsidRPr="00511A5A" w:rsidRDefault="008F0587" w:rsidP="00C06859">
            <w:pPr>
              <w:spacing w:after="0"/>
            </w:pPr>
            <w:r>
              <w:t>Principle Civil Engineer</w:t>
            </w:r>
          </w:p>
        </w:tc>
      </w:tr>
      <w:tr w:rsidR="00E85834" w:rsidRPr="00486B1A" w14:paraId="371AA641" w14:textId="77777777" w:rsidTr="00D67CC1">
        <w:tc>
          <w:tcPr>
            <w:tcW w:w="0" w:type="auto"/>
            <w:tcMar>
              <w:top w:w="150" w:type="dxa"/>
              <w:left w:w="150" w:type="dxa"/>
              <w:bottom w:w="150" w:type="dxa"/>
              <w:right w:w="150" w:type="dxa"/>
            </w:tcMar>
          </w:tcPr>
          <w:p w14:paraId="64C48AD1" w14:textId="56A1F081" w:rsidR="00E85834" w:rsidRDefault="00D25B15" w:rsidP="00C06859">
            <w:pPr>
              <w:spacing w:after="0"/>
              <w:rPr>
                <w:b/>
                <w:bCs/>
              </w:rPr>
            </w:pPr>
            <w:r>
              <w:rPr>
                <w:b/>
                <w:bCs/>
              </w:rPr>
              <w:t>Status</w:t>
            </w:r>
          </w:p>
        </w:tc>
        <w:tc>
          <w:tcPr>
            <w:tcW w:w="6752" w:type="dxa"/>
            <w:tcMar>
              <w:top w:w="150" w:type="dxa"/>
              <w:left w:w="150" w:type="dxa"/>
              <w:bottom w:w="150" w:type="dxa"/>
              <w:right w:w="150" w:type="dxa"/>
            </w:tcMar>
          </w:tcPr>
          <w:p w14:paraId="630E4FDC" w14:textId="628D84DF" w:rsidR="00E85834" w:rsidRPr="00511A5A" w:rsidRDefault="00D67CC1" w:rsidP="00C06859">
            <w:pPr>
              <w:spacing w:after="0"/>
            </w:pPr>
            <w:r>
              <w:t>Approved</w:t>
            </w:r>
          </w:p>
        </w:tc>
      </w:tr>
      <w:tr w:rsidR="00E85834" w:rsidRPr="00486B1A" w14:paraId="0480E4DD" w14:textId="77777777" w:rsidTr="00D67CC1">
        <w:tc>
          <w:tcPr>
            <w:tcW w:w="0" w:type="auto"/>
            <w:tcMar>
              <w:top w:w="150" w:type="dxa"/>
              <w:left w:w="150" w:type="dxa"/>
              <w:bottom w:w="150" w:type="dxa"/>
              <w:right w:w="150" w:type="dxa"/>
            </w:tcMar>
          </w:tcPr>
          <w:p w14:paraId="7463360B" w14:textId="4A3D5E71" w:rsidR="00E85834" w:rsidRDefault="00D25B15" w:rsidP="00C06859">
            <w:pPr>
              <w:spacing w:after="0"/>
              <w:rPr>
                <w:b/>
                <w:bCs/>
              </w:rPr>
            </w:pPr>
            <w:r>
              <w:rPr>
                <w:b/>
                <w:bCs/>
              </w:rPr>
              <w:t>Version History</w:t>
            </w:r>
          </w:p>
        </w:tc>
        <w:tc>
          <w:tcPr>
            <w:tcW w:w="6752" w:type="dxa"/>
            <w:tcMar>
              <w:top w:w="150" w:type="dxa"/>
              <w:left w:w="150" w:type="dxa"/>
              <w:bottom w:w="150" w:type="dxa"/>
              <w:right w:w="150" w:type="dxa"/>
            </w:tcMar>
          </w:tcPr>
          <w:p w14:paraId="3C960044" w14:textId="18C60391" w:rsidR="008049ED" w:rsidRPr="00511A5A" w:rsidRDefault="008049ED" w:rsidP="00C06859">
            <w:pPr>
              <w:spacing w:after="0"/>
            </w:pPr>
            <w:r>
              <w:t>1</w:t>
            </w:r>
            <w:r w:rsidR="00974CDC">
              <w:t>5</w:t>
            </w:r>
            <w:r>
              <w:t xml:space="preserve">/07/2026 </w:t>
            </w:r>
          </w:p>
          <w:p w14:paraId="1D1D34D7" w14:textId="4AE08CB3" w:rsidR="00E85834" w:rsidRPr="00511A5A" w:rsidRDefault="008049ED" w:rsidP="00C06859">
            <w:pPr>
              <w:spacing w:after="0"/>
            </w:pPr>
            <w:r w:rsidRPr="008049ED">
              <w:t xml:space="preserve">Approved and released for </w:t>
            </w:r>
            <w:r w:rsidR="00E74EE8">
              <w:t>organisation</w:t>
            </w:r>
            <w:r w:rsidRPr="008049ED">
              <w:t>-wide implementation</w:t>
            </w:r>
            <w:r>
              <w:t>.</w:t>
            </w:r>
          </w:p>
        </w:tc>
      </w:tr>
    </w:tbl>
    <w:p w14:paraId="249B16B0" w14:textId="77777777" w:rsidR="00511A5A" w:rsidRDefault="00511A5A" w:rsidP="00C06859">
      <w:pPr>
        <w:spacing w:after="0"/>
      </w:pPr>
    </w:p>
    <w:sectPr w:rsidR="00511A5A" w:rsidSect="00737689">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70B4D" w14:textId="77777777" w:rsidR="009401FF" w:rsidRDefault="009401FF" w:rsidP="00486B1A">
      <w:pPr>
        <w:spacing w:after="0" w:line="240" w:lineRule="auto"/>
      </w:pPr>
      <w:r>
        <w:separator/>
      </w:r>
    </w:p>
  </w:endnote>
  <w:endnote w:type="continuationSeparator" w:id="0">
    <w:p w14:paraId="2977DCAB" w14:textId="77777777" w:rsidR="009401FF" w:rsidRDefault="009401FF" w:rsidP="00486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bel">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0A86" w14:textId="77777777" w:rsidR="00FB3F76" w:rsidRDefault="00FB3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5E0F" w14:textId="760E6331" w:rsidR="00486B1A" w:rsidRPr="009F07AA" w:rsidRDefault="00000000" w:rsidP="00486B1A">
    <w:pPr>
      <w:pStyle w:val="Footer"/>
      <w:rPr>
        <w:rFonts w:ascii="Arial" w:hAnsi="Arial" w:cs="Arial"/>
        <w:sz w:val="16"/>
        <w:szCs w:val="16"/>
      </w:rPr>
    </w:pPr>
    <w:sdt>
      <w:sdtPr>
        <w:rPr>
          <w:rFonts w:ascii="Arial" w:hAnsi="Arial" w:cs="Arial"/>
          <w:sz w:val="16"/>
          <w:szCs w:val="16"/>
        </w:rPr>
        <w:alias w:val="Title"/>
        <w:tag w:val=""/>
        <w:id w:val="-1043592905"/>
        <w:placeholder>
          <w:docPart w:val="6436CC39FC3F4F3E9DF750F5CE7130B6"/>
        </w:placeholder>
        <w:dataBinding w:prefixMappings="xmlns:ns0='http://purl.org/dc/elements/1.1/' xmlns:ns1='http://schemas.openxmlformats.org/package/2006/metadata/core-properties' " w:xpath="/ns1:coreProperties[1]/ns0:title[1]" w:storeItemID="{6C3C8BC8-F283-45AE-878A-BAB7291924A1}"/>
        <w:text/>
      </w:sdtPr>
      <w:sdtContent>
        <w:r w:rsidR="00DD1823">
          <w:rPr>
            <w:rFonts w:ascii="Arial" w:hAnsi="Arial" w:cs="Arial"/>
            <w:sz w:val="16"/>
            <w:szCs w:val="16"/>
          </w:rPr>
          <w:t>Environmental and Sustainability Policy</w:t>
        </w:r>
      </w:sdtContent>
    </w:sdt>
    <w:r w:rsidR="00486B1A" w:rsidRPr="009F07AA">
      <w:rPr>
        <w:rFonts w:ascii="Arial" w:hAnsi="Arial" w:cs="Arial"/>
        <w:sz w:val="16"/>
        <w:szCs w:val="16"/>
      </w:rPr>
      <w:t xml:space="preserve"> v1</w:t>
    </w:r>
    <w:r w:rsidR="00486B1A" w:rsidRPr="009F07AA">
      <w:rPr>
        <w:rFonts w:ascii="Arial" w:hAnsi="Arial" w:cs="Arial"/>
        <w:sz w:val="16"/>
        <w:szCs w:val="16"/>
      </w:rPr>
      <w:tab/>
    </w:r>
    <w:r w:rsidR="00486B1A" w:rsidRPr="009F07AA">
      <w:rPr>
        <w:rFonts w:ascii="Arial" w:hAnsi="Arial" w:cs="Arial"/>
        <w:sz w:val="16"/>
        <w:szCs w:val="16"/>
      </w:rPr>
      <w:fldChar w:fldCharType="begin"/>
    </w:r>
    <w:r w:rsidR="00486B1A" w:rsidRPr="009F07AA">
      <w:rPr>
        <w:rFonts w:ascii="Arial" w:hAnsi="Arial" w:cs="Arial"/>
        <w:sz w:val="16"/>
        <w:szCs w:val="16"/>
      </w:rPr>
      <w:instrText xml:space="preserve"> DATE   \* MERGEFORMAT </w:instrText>
    </w:r>
    <w:r w:rsidR="00486B1A" w:rsidRPr="009F07AA">
      <w:rPr>
        <w:rFonts w:ascii="Arial" w:hAnsi="Arial" w:cs="Arial"/>
        <w:sz w:val="16"/>
        <w:szCs w:val="16"/>
      </w:rPr>
      <w:fldChar w:fldCharType="separate"/>
    </w:r>
    <w:r w:rsidR="00914183">
      <w:rPr>
        <w:rFonts w:ascii="Arial" w:hAnsi="Arial" w:cs="Arial"/>
        <w:noProof/>
        <w:sz w:val="16"/>
        <w:szCs w:val="16"/>
      </w:rPr>
      <w:t>15/07/2026</w:t>
    </w:r>
    <w:r w:rsidR="00486B1A" w:rsidRPr="009F07AA">
      <w:rPr>
        <w:rFonts w:ascii="Arial" w:hAnsi="Arial" w:cs="Arial"/>
        <w:sz w:val="16"/>
        <w:szCs w:val="16"/>
      </w:rPr>
      <w:fldChar w:fldCharType="end"/>
    </w:r>
    <w:r w:rsidR="00486B1A" w:rsidRPr="009F07AA">
      <w:rPr>
        <w:rFonts w:ascii="Arial" w:hAnsi="Arial" w:cs="Arial"/>
        <w:sz w:val="16"/>
        <w:szCs w:val="16"/>
      </w:rPr>
      <w:tab/>
      <w:t xml:space="preserve">Page </w:t>
    </w:r>
    <w:r w:rsidR="00486B1A" w:rsidRPr="009F07AA">
      <w:rPr>
        <w:rFonts w:ascii="Arial" w:hAnsi="Arial" w:cs="Arial"/>
        <w:b/>
        <w:bCs/>
        <w:sz w:val="16"/>
        <w:szCs w:val="16"/>
      </w:rPr>
      <w:fldChar w:fldCharType="begin"/>
    </w:r>
    <w:r w:rsidR="00486B1A" w:rsidRPr="009F07AA">
      <w:rPr>
        <w:rFonts w:ascii="Arial" w:hAnsi="Arial" w:cs="Arial"/>
        <w:b/>
        <w:bCs/>
        <w:sz w:val="16"/>
        <w:szCs w:val="16"/>
      </w:rPr>
      <w:instrText xml:space="preserve"> PAGE  \* Arabic  \* MERGEFORMAT </w:instrText>
    </w:r>
    <w:r w:rsidR="00486B1A" w:rsidRPr="009F07AA">
      <w:rPr>
        <w:rFonts w:ascii="Arial" w:hAnsi="Arial" w:cs="Arial"/>
        <w:b/>
        <w:bCs/>
        <w:sz w:val="16"/>
        <w:szCs w:val="16"/>
      </w:rPr>
      <w:fldChar w:fldCharType="separate"/>
    </w:r>
    <w:r w:rsidR="00486B1A" w:rsidRPr="009F07AA">
      <w:rPr>
        <w:rFonts w:ascii="Arial" w:hAnsi="Arial" w:cs="Arial"/>
        <w:b/>
        <w:bCs/>
        <w:sz w:val="16"/>
        <w:szCs w:val="16"/>
      </w:rPr>
      <w:t>1</w:t>
    </w:r>
    <w:r w:rsidR="00486B1A" w:rsidRPr="009F07AA">
      <w:rPr>
        <w:rFonts w:ascii="Arial" w:hAnsi="Arial" w:cs="Arial"/>
        <w:b/>
        <w:bCs/>
        <w:sz w:val="16"/>
        <w:szCs w:val="16"/>
      </w:rPr>
      <w:fldChar w:fldCharType="end"/>
    </w:r>
    <w:r w:rsidR="00486B1A" w:rsidRPr="009F07AA">
      <w:rPr>
        <w:rFonts w:ascii="Arial" w:hAnsi="Arial" w:cs="Arial"/>
        <w:sz w:val="16"/>
        <w:szCs w:val="16"/>
      </w:rPr>
      <w:t xml:space="preserve"> of </w:t>
    </w:r>
    <w:r w:rsidR="00486B1A" w:rsidRPr="009F07AA">
      <w:rPr>
        <w:rFonts w:ascii="Arial" w:hAnsi="Arial" w:cs="Arial"/>
        <w:b/>
        <w:bCs/>
        <w:sz w:val="16"/>
        <w:szCs w:val="16"/>
      </w:rPr>
      <w:fldChar w:fldCharType="begin"/>
    </w:r>
    <w:r w:rsidR="00486B1A" w:rsidRPr="009F07AA">
      <w:rPr>
        <w:rFonts w:ascii="Arial" w:hAnsi="Arial" w:cs="Arial"/>
        <w:b/>
        <w:bCs/>
        <w:sz w:val="16"/>
        <w:szCs w:val="16"/>
      </w:rPr>
      <w:instrText xml:space="preserve"> NUMPAGES  \* Arabic  \* MERGEFORMAT </w:instrText>
    </w:r>
    <w:r w:rsidR="00486B1A" w:rsidRPr="009F07AA">
      <w:rPr>
        <w:rFonts w:ascii="Arial" w:hAnsi="Arial" w:cs="Arial"/>
        <w:b/>
        <w:bCs/>
        <w:sz w:val="16"/>
        <w:szCs w:val="16"/>
      </w:rPr>
      <w:fldChar w:fldCharType="separate"/>
    </w:r>
    <w:r w:rsidR="00486B1A" w:rsidRPr="009F07AA">
      <w:rPr>
        <w:rFonts w:ascii="Arial" w:hAnsi="Arial" w:cs="Arial"/>
        <w:b/>
        <w:bCs/>
        <w:sz w:val="16"/>
        <w:szCs w:val="16"/>
      </w:rPr>
      <w:t>1</w:t>
    </w:r>
    <w:r w:rsidR="00486B1A" w:rsidRPr="009F07AA">
      <w:rPr>
        <w:rFonts w:ascii="Arial" w:hAnsi="Arial" w:cs="Arial"/>
        <w:b/>
        <w:bCs/>
        <w:sz w:val="16"/>
        <w:szCs w:val="16"/>
      </w:rPr>
      <w:fldChar w:fldCharType="end"/>
    </w:r>
  </w:p>
  <w:p w14:paraId="5CB22A62" w14:textId="0BF9B45D" w:rsidR="00486B1A" w:rsidRPr="009F07AA" w:rsidRDefault="00000000" w:rsidP="00486B1A">
    <w:pPr>
      <w:pStyle w:val="Footer"/>
      <w:rPr>
        <w:rFonts w:ascii="Arial" w:hAnsi="Arial" w:cs="Arial"/>
        <w:sz w:val="16"/>
        <w:szCs w:val="16"/>
      </w:rPr>
    </w:pPr>
    <w:sdt>
      <w:sdtPr>
        <w:rPr>
          <w:rFonts w:ascii="Arial" w:hAnsi="Arial" w:cs="Arial"/>
          <w:sz w:val="16"/>
          <w:szCs w:val="16"/>
        </w:rPr>
        <w:alias w:val="Company Address"/>
        <w:tag w:val=""/>
        <w:id w:val="-1654979687"/>
        <w:placeholder>
          <w:docPart w:val="7AC7BAE9609C49E19BACDB9196853A01"/>
        </w:placeholder>
        <w:dataBinding w:prefixMappings="xmlns:ns0='http://schemas.microsoft.com/office/2006/coverPageProps' " w:xpath="/ns0:CoverPageProperties[1]/ns0:CompanyAddress[1]" w:storeItemID="{55AF091B-3C7A-41E3-B477-F2FDAA23CFDA}"/>
        <w:text/>
      </w:sdtPr>
      <w:sdtContent>
        <w:r w:rsidR="00C40F0C" w:rsidRPr="009F07AA">
          <w:rPr>
            <w:rFonts w:ascii="Arial" w:hAnsi="Arial" w:cs="Arial"/>
            <w:sz w:val="16"/>
            <w:szCs w:val="16"/>
          </w:rPr>
          <w:t>www</w:t>
        </w:r>
        <w:r w:rsidR="000C5C72" w:rsidRPr="009F07AA">
          <w:rPr>
            <w:rFonts w:ascii="Arial" w:hAnsi="Arial" w:cs="Arial"/>
            <w:sz w:val="16"/>
            <w:szCs w:val="16"/>
          </w:rPr>
          <w:t>.velocityc</w:t>
        </w:r>
        <w:r w:rsidR="00FB3F76">
          <w:rPr>
            <w:rFonts w:ascii="Arial" w:hAnsi="Arial" w:cs="Arial"/>
            <w:sz w:val="16"/>
            <w:szCs w:val="16"/>
          </w:rPr>
          <w:t>ivil</w:t>
        </w:r>
        <w:r w:rsidR="000C5C72" w:rsidRPr="009F07AA">
          <w:rPr>
            <w:rFonts w:ascii="Arial" w:hAnsi="Arial" w:cs="Arial"/>
            <w:sz w:val="16"/>
            <w:szCs w:val="16"/>
          </w:rPr>
          <w:t>.com</w:t>
        </w:r>
      </w:sdtContent>
    </w:sdt>
  </w:p>
  <w:p w14:paraId="7A997EE8" w14:textId="77777777" w:rsidR="00486B1A" w:rsidRDefault="00486B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BCA1" w14:textId="77777777" w:rsidR="00FB3F76" w:rsidRDefault="00FB3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24A88" w14:textId="77777777" w:rsidR="009401FF" w:rsidRDefault="009401FF" w:rsidP="00486B1A">
      <w:pPr>
        <w:spacing w:after="0" w:line="240" w:lineRule="auto"/>
      </w:pPr>
      <w:r>
        <w:separator/>
      </w:r>
    </w:p>
  </w:footnote>
  <w:footnote w:type="continuationSeparator" w:id="0">
    <w:p w14:paraId="09FDAEB6" w14:textId="77777777" w:rsidR="009401FF" w:rsidRDefault="009401FF" w:rsidP="00486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CA5F" w14:textId="77777777" w:rsidR="00FB3F76" w:rsidRDefault="00FB3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4E37" w14:textId="1A2B5317" w:rsidR="0027164F" w:rsidRPr="0027164F" w:rsidRDefault="0027164F" w:rsidP="00096DDC">
    <w:pPr>
      <w:pStyle w:val="Header"/>
    </w:pPr>
    <w:r>
      <w:rPr>
        <w:noProof/>
      </w:rPr>
      <w:drawing>
        <wp:anchor distT="0" distB="0" distL="114300" distR="114300" simplePos="0" relativeHeight="251658240" behindDoc="0" locked="0" layoutInCell="1" allowOverlap="1" wp14:anchorId="60EEC42B" wp14:editId="1D92C2C6">
          <wp:simplePos x="0" y="0"/>
          <wp:positionH relativeFrom="column">
            <wp:posOffset>-90805</wp:posOffset>
          </wp:positionH>
          <wp:positionV relativeFrom="paragraph">
            <wp:posOffset>-116205</wp:posOffset>
          </wp:positionV>
          <wp:extent cx="681355" cy="733425"/>
          <wp:effectExtent l="0" t="0" r="0" b="9525"/>
          <wp:wrapThrough wrapText="bothSides">
            <wp:wrapPolygon edited="0">
              <wp:start x="4227" y="0"/>
              <wp:lineTo x="2416" y="12343"/>
              <wp:lineTo x="2416" y="17953"/>
              <wp:lineTo x="7851" y="21319"/>
              <wp:lineTo x="8455" y="21319"/>
              <wp:lineTo x="12682" y="21319"/>
              <wp:lineTo x="13286" y="21319"/>
              <wp:lineTo x="18721" y="17953"/>
              <wp:lineTo x="18117" y="11782"/>
              <wp:lineTo x="10870" y="1683"/>
              <wp:lineTo x="7851" y="0"/>
              <wp:lineTo x="4227" y="0"/>
            </wp:wrapPolygon>
          </wp:wrapThrough>
          <wp:docPr id="603502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355" cy="733425"/>
                  </a:xfrm>
                  <a:prstGeom prst="rect">
                    <a:avLst/>
                  </a:prstGeom>
                  <a:noFill/>
                </pic:spPr>
              </pic:pic>
            </a:graphicData>
          </a:graphic>
          <wp14:sizeRelH relativeFrom="margin">
            <wp14:pctWidth>0</wp14:pctWidth>
          </wp14:sizeRelH>
          <wp14:sizeRelV relativeFrom="margin">
            <wp14:pctHeight>0</wp14:pctHeight>
          </wp14:sizeRelV>
        </wp:anchor>
      </w:drawing>
    </w:r>
    <w:r w:rsidR="00161A59" w:rsidRPr="009B764F">
      <w:rPr>
        <w:rStyle w:val="Heading1Char"/>
      </w:rPr>
      <w:t>Velocity Civil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CA81" w14:textId="77777777" w:rsidR="00FB3F76" w:rsidRDefault="00FB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30D2"/>
    <w:multiLevelType w:val="multilevel"/>
    <w:tmpl w:val="67AA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75177"/>
    <w:multiLevelType w:val="hybridMultilevel"/>
    <w:tmpl w:val="52E46E9C"/>
    <w:lvl w:ilvl="0" w:tplc="90CAFE9C">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AC1671"/>
    <w:multiLevelType w:val="multilevel"/>
    <w:tmpl w:val="551C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01691"/>
    <w:multiLevelType w:val="multilevel"/>
    <w:tmpl w:val="B8A2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E3794"/>
    <w:multiLevelType w:val="multilevel"/>
    <w:tmpl w:val="C9D6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30F7F"/>
    <w:multiLevelType w:val="hybridMultilevel"/>
    <w:tmpl w:val="9BDA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DA4014"/>
    <w:multiLevelType w:val="hybridMultilevel"/>
    <w:tmpl w:val="26CCCF88"/>
    <w:lvl w:ilvl="0" w:tplc="90CAFE9C">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24A25A7"/>
    <w:multiLevelType w:val="hybridMultilevel"/>
    <w:tmpl w:val="85B4B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0D6C16"/>
    <w:multiLevelType w:val="hybridMultilevel"/>
    <w:tmpl w:val="995E4784"/>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6F310AE4"/>
    <w:multiLevelType w:val="hybridMultilevel"/>
    <w:tmpl w:val="1ADA8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1510431">
    <w:abstractNumId w:val="9"/>
  </w:num>
  <w:num w:numId="2" w16cid:durableId="1031759370">
    <w:abstractNumId w:val="5"/>
  </w:num>
  <w:num w:numId="3" w16cid:durableId="366879599">
    <w:abstractNumId w:val="3"/>
  </w:num>
  <w:num w:numId="4" w16cid:durableId="1750036602">
    <w:abstractNumId w:val="7"/>
  </w:num>
  <w:num w:numId="5" w16cid:durableId="1784152799">
    <w:abstractNumId w:val="1"/>
  </w:num>
  <w:num w:numId="6" w16cid:durableId="1349409155">
    <w:abstractNumId w:val="6"/>
  </w:num>
  <w:num w:numId="7" w16cid:durableId="1735467048">
    <w:abstractNumId w:val="8"/>
  </w:num>
  <w:num w:numId="8" w16cid:durableId="1022705684">
    <w:abstractNumId w:val="4"/>
  </w:num>
  <w:num w:numId="9" w16cid:durableId="413015238">
    <w:abstractNumId w:val="2"/>
  </w:num>
  <w:num w:numId="10" w16cid:durableId="870071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1A"/>
    <w:rsid w:val="000065A0"/>
    <w:rsid w:val="00096DDC"/>
    <w:rsid w:val="000A2741"/>
    <w:rsid w:val="000C5C72"/>
    <w:rsid w:val="00106823"/>
    <w:rsid w:val="00115AD8"/>
    <w:rsid w:val="00117C19"/>
    <w:rsid w:val="00120195"/>
    <w:rsid w:val="00121723"/>
    <w:rsid w:val="00131329"/>
    <w:rsid w:val="00142DB8"/>
    <w:rsid w:val="00161A59"/>
    <w:rsid w:val="00185216"/>
    <w:rsid w:val="00197061"/>
    <w:rsid w:val="001E41A0"/>
    <w:rsid w:val="0025415F"/>
    <w:rsid w:val="00267043"/>
    <w:rsid w:val="0027164F"/>
    <w:rsid w:val="002F69B6"/>
    <w:rsid w:val="003035CA"/>
    <w:rsid w:val="00344C01"/>
    <w:rsid w:val="00361588"/>
    <w:rsid w:val="00361DDD"/>
    <w:rsid w:val="00382C70"/>
    <w:rsid w:val="003845F2"/>
    <w:rsid w:val="00393E9C"/>
    <w:rsid w:val="003E2684"/>
    <w:rsid w:val="00446DF8"/>
    <w:rsid w:val="00486B1A"/>
    <w:rsid w:val="004C302A"/>
    <w:rsid w:val="004E357E"/>
    <w:rsid w:val="00511A5A"/>
    <w:rsid w:val="00523612"/>
    <w:rsid w:val="00550A1C"/>
    <w:rsid w:val="00551650"/>
    <w:rsid w:val="005B4DBD"/>
    <w:rsid w:val="005B7CDB"/>
    <w:rsid w:val="005D1168"/>
    <w:rsid w:val="006233FD"/>
    <w:rsid w:val="00641638"/>
    <w:rsid w:val="0066026A"/>
    <w:rsid w:val="006710EE"/>
    <w:rsid w:val="00697612"/>
    <w:rsid w:val="006F43E1"/>
    <w:rsid w:val="00706B47"/>
    <w:rsid w:val="00737689"/>
    <w:rsid w:val="00753994"/>
    <w:rsid w:val="00770ADA"/>
    <w:rsid w:val="007E3D4F"/>
    <w:rsid w:val="007F05A3"/>
    <w:rsid w:val="008049ED"/>
    <w:rsid w:val="0082281D"/>
    <w:rsid w:val="00826789"/>
    <w:rsid w:val="00872CCB"/>
    <w:rsid w:val="008F0587"/>
    <w:rsid w:val="00914183"/>
    <w:rsid w:val="009356A2"/>
    <w:rsid w:val="00937346"/>
    <w:rsid w:val="009401FF"/>
    <w:rsid w:val="009410B3"/>
    <w:rsid w:val="00974CDC"/>
    <w:rsid w:val="00975AA9"/>
    <w:rsid w:val="009869BB"/>
    <w:rsid w:val="009B764F"/>
    <w:rsid w:val="009E0037"/>
    <w:rsid w:val="009F07AA"/>
    <w:rsid w:val="009F4F89"/>
    <w:rsid w:val="00A1402F"/>
    <w:rsid w:val="00A3685F"/>
    <w:rsid w:val="00A950F8"/>
    <w:rsid w:val="00AC5B34"/>
    <w:rsid w:val="00AF64CD"/>
    <w:rsid w:val="00B3151E"/>
    <w:rsid w:val="00B35F53"/>
    <w:rsid w:val="00B3628D"/>
    <w:rsid w:val="00B3667B"/>
    <w:rsid w:val="00B60463"/>
    <w:rsid w:val="00B8284E"/>
    <w:rsid w:val="00BB50B6"/>
    <w:rsid w:val="00C06859"/>
    <w:rsid w:val="00C136EB"/>
    <w:rsid w:val="00C20BDA"/>
    <w:rsid w:val="00C2341B"/>
    <w:rsid w:val="00C266C4"/>
    <w:rsid w:val="00C40F0C"/>
    <w:rsid w:val="00C70351"/>
    <w:rsid w:val="00C82326"/>
    <w:rsid w:val="00CD5F48"/>
    <w:rsid w:val="00CF3773"/>
    <w:rsid w:val="00D0277C"/>
    <w:rsid w:val="00D05A5C"/>
    <w:rsid w:val="00D25B15"/>
    <w:rsid w:val="00D50E11"/>
    <w:rsid w:val="00D53B39"/>
    <w:rsid w:val="00D63AE8"/>
    <w:rsid w:val="00D6462E"/>
    <w:rsid w:val="00D67CC1"/>
    <w:rsid w:val="00D972C8"/>
    <w:rsid w:val="00DD0BF8"/>
    <w:rsid w:val="00DD1823"/>
    <w:rsid w:val="00DE4D47"/>
    <w:rsid w:val="00DF66E3"/>
    <w:rsid w:val="00E210CA"/>
    <w:rsid w:val="00E44BB0"/>
    <w:rsid w:val="00E64AF6"/>
    <w:rsid w:val="00E74EE8"/>
    <w:rsid w:val="00E77496"/>
    <w:rsid w:val="00E82058"/>
    <w:rsid w:val="00E85834"/>
    <w:rsid w:val="00E917B9"/>
    <w:rsid w:val="00E960A7"/>
    <w:rsid w:val="00EE4410"/>
    <w:rsid w:val="00EF5C7D"/>
    <w:rsid w:val="00F13D90"/>
    <w:rsid w:val="00F23749"/>
    <w:rsid w:val="00F30625"/>
    <w:rsid w:val="00F45DC7"/>
    <w:rsid w:val="00FB3F76"/>
    <w:rsid w:val="00FD3298"/>
    <w:rsid w:val="00FE52BC"/>
    <w:rsid w:val="00FF41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662A9"/>
  <w15:chartTrackingRefBased/>
  <w15:docId w15:val="{63E3EDF8-6A85-468F-92F1-AACA90A7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77C"/>
  </w:style>
  <w:style w:type="paragraph" w:styleId="Heading1">
    <w:name w:val="heading 1"/>
    <w:basedOn w:val="Normal"/>
    <w:next w:val="Normal"/>
    <w:link w:val="Heading1Char"/>
    <w:uiPriority w:val="9"/>
    <w:qFormat/>
    <w:rsid w:val="009B764F"/>
    <w:pPr>
      <w:keepNext/>
      <w:keepLines/>
      <w:spacing w:before="360" w:after="80"/>
      <w:outlineLvl w:val="0"/>
    </w:pPr>
    <w:rPr>
      <w:rFonts w:ascii="Abel" w:eastAsiaTheme="majorEastAsia" w:hAnsi="Abel" w:cstheme="majorBidi"/>
      <w:b/>
      <w:color w:val="0F4761" w:themeColor="accent1" w:themeShade="BF"/>
      <w:sz w:val="72"/>
      <w:szCs w:val="40"/>
    </w:rPr>
  </w:style>
  <w:style w:type="paragraph" w:styleId="Heading2">
    <w:name w:val="heading 2"/>
    <w:basedOn w:val="Normal"/>
    <w:next w:val="Normal"/>
    <w:link w:val="Heading2Char"/>
    <w:uiPriority w:val="9"/>
    <w:unhideWhenUsed/>
    <w:qFormat/>
    <w:rsid w:val="00486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6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64F"/>
    <w:rPr>
      <w:rFonts w:ascii="Abel" w:eastAsiaTheme="majorEastAsia" w:hAnsi="Abel" w:cstheme="majorBidi"/>
      <w:b/>
      <w:color w:val="0F4761" w:themeColor="accent1" w:themeShade="BF"/>
      <w:sz w:val="72"/>
      <w:szCs w:val="40"/>
    </w:rPr>
  </w:style>
  <w:style w:type="character" w:customStyle="1" w:styleId="Heading2Char">
    <w:name w:val="Heading 2 Char"/>
    <w:basedOn w:val="DefaultParagraphFont"/>
    <w:link w:val="Heading2"/>
    <w:uiPriority w:val="9"/>
    <w:rsid w:val="00486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6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B1A"/>
    <w:rPr>
      <w:rFonts w:eastAsiaTheme="majorEastAsia" w:cstheme="majorBidi"/>
      <w:color w:val="272727" w:themeColor="text1" w:themeTint="D8"/>
    </w:rPr>
  </w:style>
  <w:style w:type="paragraph" w:styleId="Title">
    <w:name w:val="Title"/>
    <w:basedOn w:val="Normal"/>
    <w:next w:val="Normal"/>
    <w:link w:val="TitleChar"/>
    <w:uiPriority w:val="10"/>
    <w:qFormat/>
    <w:rsid w:val="00486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B1A"/>
    <w:pPr>
      <w:spacing w:before="160"/>
      <w:jc w:val="center"/>
    </w:pPr>
    <w:rPr>
      <w:i/>
      <w:iCs/>
      <w:color w:val="404040" w:themeColor="text1" w:themeTint="BF"/>
    </w:rPr>
  </w:style>
  <w:style w:type="character" w:customStyle="1" w:styleId="QuoteChar">
    <w:name w:val="Quote Char"/>
    <w:basedOn w:val="DefaultParagraphFont"/>
    <w:link w:val="Quote"/>
    <w:uiPriority w:val="29"/>
    <w:rsid w:val="00486B1A"/>
    <w:rPr>
      <w:i/>
      <w:iCs/>
      <w:color w:val="404040" w:themeColor="text1" w:themeTint="BF"/>
    </w:rPr>
  </w:style>
  <w:style w:type="paragraph" w:styleId="ListParagraph">
    <w:name w:val="List Paragraph"/>
    <w:basedOn w:val="Normal"/>
    <w:uiPriority w:val="34"/>
    <w:qFormat/>
    <w:rsid w:val="00486B1A"/>
    <w:pPr>
      <w:ind w:left="720"/>
      <w:contextualSpacing/>
    </w:pPr>
  </w:style>
  <w:style w:type="character" w:styleId="IntenseEmphasis">
    <w:name w:val="Intense Emphasis"/>
    <w:basedOn w:val="DefaultParagraphFont"/>
    <w:uiPriority w:val="21"/>
    <w:qFormat/>
    <w:rsid w:val="00486B1A"/>
    <w:rPr>
      <w:i/>
      <w:iCs/>
      <w:color w:val="0F4761" w:themeColor="accent1" w:themeShade="BF"/>
    </w:rPr>
  </w:style>
  <w:style w:type="paragraph" w:styleId="IntenseQuote">
    <w:name w:val="Intense Quote"/>
    <w:basedOn w:val="Normal"/>
    <w:next w:val="Normal"/>
    <w:link w:val="IntenseQuoteChar"/>
    <w:uiPriority w:val="30"/>
    <w:qFormat/>
    <w:rsid w:val="00486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B1A"/>
    <w:rPr>
      <w:i/>
      <w:iCs/>
      <w:color w:val="0F4761" w:themeColor="accent1" w:themeShade="BF"/>
    </w:rPr>
  </w:style>
  <w:style w:type="character" w:styleId="IntenseReference">
    <w:name w:val="Intense Reference"/>
    <w:basedOn w:val="DefaultParagraphFont"/>
    <w:uiPriority w:val="32"/>
    <w:qFormat/>
    <w:rsid w:val="00486B1A"/>
    <w:rPr>
      <w:b/>
      <w:bCs/>
      <w:smallCaps/>
      <w:color w:val="0F4761" w:themeColor="accent1" w:themeShade="BF"/>
      <w:spacing w:val="5"/>
    </w:rPr>
  </w:style>
  <w:style w:type="paragraph" w:styleId="Header">
    <w:name w:val="header"/>
    <w:basedOn w:val="Normal"/>
    <w:link w:val="HeaderChar"/>
    <w:uiPriority w:val="99"/>
    <w:unhideWhenUsed/>
    <w:rsid w:val="00486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B1A"/>
  </w:style>
  <w:style w:type="paragraph" w:styleId="Footer">
    <w:name w:val="footer"/>
    <w:basedOn w:val="Normal"/>
    <w:link w:val="FooterChar"/>
    <w:uiPriority w:val="99"/>
    <w:unhideWhenUsed/>
    <w:rsid w:val="00486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B1A"/>
  </w:style>
  <w:style w:type="character" w:styleId="PlaceholderText">
    <w:name w:val="Placeholder Text"/>
    <w:basedOn w:val="DefaultParagraphFont"/>
    <w:uiPriority w:val="99"/>
    <w:semiHidden/>
    <w:rsid w:val="00486B1A"/>
    <w:rPr>
      <w:color w:val="666666"/>
    </w:rPr>
  </w:style>
  <w:style w:type="paragraph" w:styleId="NormalWeb">
    <w:name w:val="Normal (Web)"/>
    <w:basedOn w:val="Normal"/>
    <w:uiPriority w:val="99"/>
    <w:semiHidden/>
    <w:unhideWhenUsed/>
    <w:rsid w:val="00B35F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36CC39FC3F4F3E9DF750F5CE7130B6"/>
        <w:category>
          <w:name w:val="General"/>
          <w:gallery w:val="placeholder"/>
        </w:category>
        <w:types>
          <w:type w:val="bbPlcHdr"/>
        </w:types>
        <w:behaviors>
          <w:behavior w:val="content"/>
        </w:behaviors>
        <w:guid w:val="{4D4C28E9-72E6-4FED-9585-1A4EBE722809}"/>
      </w:docPartPr>
      <w:docPartBody>
        <w:p w:rsidR="00757F1A" w:rsidRDefault="00026100" w:rsidP="00026100">
          <w:pPr>
            <w:pStyle w:val="6436CC39FC3F4F3E9DF750F5CE7130B6"/>
          </w:pPr>
          <w:r w:rsidRPr="00393763">
            <w:rPr>
              <w:rStyle w:val="PlaceholderText"/>
            </w:rPr>
            <w:t>[Title]</w:t>
          </w:r>
        </w:p>
      </w:docPartBody>
    </w:docPart>
    <w:docPart>
      <w:docPartPr>
        <w:name w:val="7AC7BAE9609C49E19BACDB9196853A01"/>
        <w:category>
          <w:name w:val="General"/>
          <w:gallery w:val="placeholder"/>
        </w:category>
        <w:types>
          <w:type w:val="bbPlcHdr"/>
        </w:types>
        <w:behaviors>
          <w:behavior w:val="content"/>
        </w:behaviors>
        <w:guid w:val="{8E472C6C-E0B5-4F2C-83D6-BE4E1851F919}"/>
      </w:docPartPr>
      <w:docPartBody>
        <w:p w:rsidR="00757F1A" w:rsidRDefault="00026100" w:rsidP="00026100">
          <w:pPr>
            <w:pStyle w:val="7AC7BAE9609C49E19BACDB9196853A01"/>
          </w:pPr>
          <w:r w:rsidRPr="00393763">
            <w:rPr>
              <w:rStyle w:val="PlaceholderText"/>
            </w:rPr>
            <w:t>[Company Address]</w:t>
          </w:r>
        </w:p>
      </w:docPartBody>
    </w:docPart>
    <w:docPart>
      <w:docPartPr>
        <w:name w:val="7CF0D4D55CC344DCA2686DF1180E7B25"/>
        <w:category>
          <w:name w:val="General"/>
          <w:gallery w:val="placeholder"/>
        </w:category>
        <w:types>
          <w:type w:val="bbPlcHdr"/>
        </w:types>
        <w:behaviors>
          <w:behavior w:val="content"/>
        </w:behaviors>
        <w:guid w:val="{135790C9-C0DA-49B2-98F8-255D527159C6}"/>
      </w:docPartPr>
      <w:docPartBody>
        <w:p w:rsidR="00757F1A" w:rsidRDefault="00026100">
          <w:r w:rsidRPr="001716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bel">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00"/>
    <w:rsid w:val="00026100"/>
    <w:rsid w:val="00361DDD"/>
    <w:rsid w:val="003772E0"/>
    <w:rsid w:val="00382C70"/>
    <w:rsid w:val="003F3E0B"/>
    <w:rsid w:val="00446DF8"/>
    <w:rsid w:val="0055485D"/>
    <w:rsid w:val="00757F1A"/>
    <w:rsid w:val="008856B4"/>
    <w:rsid w:val="00B702B0"/>
    <w:rsid w:val="00B92171"/>
    <w:rsid w:val="00D972C8"/>
    <w:rsid w:val="00E1130D"/>
    <w:rsid w:val="00E73BF5"/>
    <w:rsid w:val="00EF01EB"/>
    <w:rsid w:val="00F96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30D"/>
    <w:rPr>
      <w:color w:val="666666"/>
    </w:rPr>
  </w:style>
  <w:style w:type="paragraph" w:customStyle="1" w:styleId="6436CC39FC3F4F3E9DF750F5CE7130B6">
    <w:name w:val="6436CC39FC3F4F3E9DF750F5CE7130B6"/>
    <w:rsid w:val="00026100"/>
  </w:style>
  <w:style w:type="paragraph" w:customStyle="1" w:styleId="7AC7BAE9609C49E19BACDB9196853A01">
    <w:name w:val="7AC7BAE9609C49E19BACDB9196853A01"/>
    <w:rsid w:val="00026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www.velocitycivil.com</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719</Words>
  <Characters>4099</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Section A: Functional Specification Summary</vt:lpstr>
      <vt:lpstr>    Section B: Design Criteria – Geometry and Layout</vt:lpstr>
      <vt:lpstr>    </vt:lpstr>
      <vt:lpstr>    Section C: Design Criteria – Pavement and Materials</vt:lpstr>
      <vt:lpstr>    Section D: Design Criteria – Drainage and Earthworks</vt:lpstr>
      <vt:lpstr>    </vt:lpstr>
      <vt:lpstr>    Section E: Environmental and Cultural Requirements</vt:lpstr>
      <vt:lpstr>    </vt:lpstr>
      <vt:lpstr>    Section F: Construction and Implementation Considerations</vt:lpstr>
      <vt:lpstr>    </vt:lpstr>
      <vt:lpstr>    Section G: Assumptions and Exclusions</vt:lpstr>
      <vt:lpstr>    </vt:lpstr>
      <vt:lpstr>    Section H: Client Confirmation of Design Criteria</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and Sustainability Policy</dc:title>
  <dc:subject/>
  <dc:creator>Karin Florie</dc:creator>
  <cp:keywords/>
  <dc:description/>
  <cp:lastModifiedBy>Karin Florie</cp:lastModifiedBy>
  <cp:revision>22</cp:revision>
  <dcterms:created xsi:type="dcterms:W3CDTF">2026-07-14T23:50:00Z</dcterms:created>
  <dcterms:modified xsi:type="dcterms:W3CDTF">2026-07-15T02:40:00Z</dcterms:modified>
</cp:coreProperties>
</file>