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9FB3" w14:textId="1A73F5E4" w:rsidR="00486B1A" w:rsidRPr="00486B1A" w:rsidRDefault="00260C67" w:rsidP="00C06859">
      <w:pPr>
        <w:spacing w:after="0"/>
      </w:pPr>
      <w:sdt>
        <w:sdtPr>
          <w:rPr>
            <w:rStyle w:val="Heading1Char"/>
            <w:sz w:val="48"/>
            <w:szCs w:val="48"/>
          </w:rPr>
          <w:alias w:val="Title"/>
          <w:tag w:val=""/>
          <w:id w:val="1270197154"/>
          <w:placeholder>
            <w:docPart w:val="7CF0D4D55CC344DCA2686DF1180E7B25"/>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inorHAnsi" w:eastAsiaTheme="minorHAnsi" w:hAnsiTheme="minorHAnsi" w:cstheme="minorBidi"/>
            <w:b w:val="0"/>
            <w:color w:val="auto"/>
            <w:sz w:val="22"/>
            <w:szCs w:val="22"/>
          </w:rPr>
        </w:sdtEndPr>
        <w:sdtContent>
          <w:r w:rsidR="00834A3F">
            <w:rPr>
              <w:rStyle w:val="Heading1Char"/>
              <w:sz w:val="48"/>
              <w:szCs w:val="48"/>
            </w:rPr>
            <w:t>Quality Management</w:t>
          </w:r>
          <w:r w:rsidR="00B60463">
            <w:rPr>
              <w:rStyle w:val="Heading1Char"/>
              <w:sz w:val="48"/>
              <w:szCs w:val="48"/>
            </w:rPr>
            <w:t xml:space="preserve"> </w:t>
          </w:r>
          <w:r w:rsidR="00D6462E">
            <w:rPr>
              <w:rStyle w:val="Heading1Char"/>
              <w:sz w:val="48"/>
              <w:szCs w:val="48"/>
            </w:rPr>
            <w:t>Policy</w:t>
          </w:r>
        </w:sdtContent>
      </w:sdt>
      <w:r>
        <w:pict w14:anchorId="3E328EBF">
          <v:rect id="_x0000_i1025" style="width:0;height:1.5pt" o:hralign="center" o:hrstd="t" o:hr="t" fillcolor="#a0a0a0" stroked="f"/>
        </w:pict>
      </w:r>
    </w:p>
    <w:p w14:paraId="5AF66007" w14:textId="5D5EEDEA" w:rsidR="00486B1A" w:rsidRDefault="00486B1A" w:rsidP="00C06859">
      <w:pPr>
        <w:pStyle w:val="Heading2"/>
        <w:spacing w:before="0" w:after="0"/>
      </w:pPr>
      <w:r w:rsidRPr="00486B1A">
        <w:t xml:space="preserve">Section A: </w:t>
      </w:r>
      <w:r w:rsidR="00E210CA">
        <w:t>Purpose</w:t>
      </w:r>
    </w:p>
    <w:p w14:paraId="29151F7A" w14:textId="77777777" w:rsidR="00525B8A" w:rsidRPr="00525B8A" w:rsidRDefault="00525B8A" w:rsidP="00525B8A"/>
    <w:tbl>
      <w:tblPr>
        <w:tblW w:w="0" w:type="auto"/>
        <w:tblCellMar>
          <w:top w:w="15" w:type="dxa"/>
          <w:left w:w="15" w:type="dxa"/>
          <w:bottom w:w="15" w:type="dxa"/>
          <w:right w:w="15" w:type="dxa"/>
        </w:tblCellMar>
        <w:tblLook w:val="04A0" w:firstRow="1" w:lastRow="0" w:firstColumn="1" w:lastColumn="0" w:noHBand="0" w:noVBand="1"/>
      </w:tblPr>
      <w:tblGrid>
        <w:gridCol w:w="1620"/>
        <w:gridCol w:w="7406"/>
      </w:tblGrid>
      <w:tr w:rsidR="00CF3773" w:rsidRPr="00486B1A" w14:paraId="30E938D1" w14:textId="77777777" w:rsidTr="008049ED">
        <w:tc>
          <w:tcPr>
            <w:tcW w:w="0" w:type="auto"/>
            <w:tcMar>
              <w:top w:w="150" w:type="dxa"/>
              <w:left w:w="150" w:type="dxa"/>
              <w:bottom w:w="150" w:type="dxa"/>
              <w:right w:w="150" w:type="dxa"/>
            </w:tcMar>
          </w:tcPr>
          <w:p w14:paraId="640809CF" w14:textId="218F0DC5" w:rsidR="00CF3773" w:rsidRPr="00486B1A" w:rsidRDefault="00CF3773" w:rsidP="00C06859">
            <w:pPr>
              <w:spacing w:after="0"/>
              <w:rPr>
                <w:b/>
                <w:bCs/>
              </w:rPr>
            </w:pPr>
            <w:r>
              <w:rPr>
                <w:b/>
                <w:bCs/>
              </w:rPr>
              <w:t>Introduction</w:t>
            </w:r>
          </w:p>
        </w:tc>
        <w:tc>
          <w:tcPr>
            <w:tcW w:w="0" w:type="auto"/>
            <w:tcMar>
              <w:top w:w="150" w:type="dxa"/>
              <w:left w:w="150" w:type="dxa"/>
              <w:bottom w:w="150" w:type="dxa"/>
              <w:right w:w="150" w:type="dxa"/>
            </w:tcMar>
          </w:tcPr>
          <w:p w14:paraId="236D3DD1" w14:textId="45DCA5E5" w:rsidR="00826789" w:rsidRPr="00511A5A" w:rsidRDefault="00834A3F" w:rsidP="00C06859">
            <w:pPr>
              <w:spacing w:after="0"/>
            </w:pPr>
            <w:r w:rsidRPr="00834A3F">
              <w:t>Velocity Civil is committed to delivering premium civil engineering, infrastructure desig</w:t>
            </w:r>
            <w:r w:rsidR="008A0E30">
              <w:t>n</w:t>
            </w:r>
            <w:r w:rsidRPr="00834A3F">
              <w:t xml:space="preserve"> and project consultancy services that consistently exceed client expectations and satisfy all statutory and regulatory requirements.</w:t>
            </w:r>
          </w:p>
        </w:tc>
      </w:tr>
      <w:tr w:rsidR="00486B1A" w:rsidRPr="00486B1A" w14:paraId="3ED0F55E" w14:textId="77777777" w:rsidTr="008049ED">
        <w:tc>
          <w:tcPr>
            <w:tcW w:w="0" w:type="auto"/>
            <w:tcMar>
              <w:top w:w="150" w:type="dxa"/>
              <w:left w:w="150" w:type="dxa"/>
              <w:bottom w:w="150" w:type="dxa"/>
              <w:right w:w="150" w:type="dxa"/>
            </w:tcMar>
            <w:hideMark/>
          </w:tcPr>
          <w:p w14:paraId="4B986AAF" w14:textId="3E3849AC" w:rsidR="00486B1A" w:rsidRPr="00486B1A" w:rsidRDefault="00CF3773" w:rsidP="00C06859">
            <w:pPr>
              <w:spacing w:after="0"/>
            </w:pPr>
            <w:r>
              <w:rPr>
                <w:b/>
                <w:bCs/>
              </w:rPr>
              <w:t>Purpose</w:t>
            </w:r>
          </w:p>
        </w:tc>
        <w:tc>
          <w:tcPr>
            <w:tcW w:w="0" w:type="auto"/>
            <w:tcMar>
              <w:top w:w="150" w:type="dxa"/>
              <w:left w:w="150" w:type="dxa"/>
              <w:bottom w:w="150" w:type="dxa"/>
              <w:right w:w="150" w:type="dxa"/>
            </w:tcMar>
            <w:hideMark/>
          </w:tcPr>
          <w:p w14:paraId="3141A7D9" w14:textId="34B1FB2C" w:rsidR="00486B1A" w:rsidRPr="00511A5A" w:rsidRDefault="00BE3C8E" w:rsidP="00C06859">
            <w:pPr>
              <w:spacing w:after="0"/>
            </w:pPr>
            <w:r w:rsidRPr="00BE3C8E">
              <w:t>This policy governs the entire lifecycle of civil design deliverables produced by Velocity Civil across all Australian jurisdictions</w:t>
            </w:r>
            <w:r w:rsidR="00525B8A">
              <w:t xml:space="preserve"> </w:t>
            </w:r>
            <w:r w:rsidRPr="00BE3C8E">
              <w:t>spanning client onboarding, initial brief analysis, engineering calculations, CAD/BIM mode</w:t>
            </w:r>
            <w:r w:rsidR="008A0E30">
              <w:t>l</w:t>
            </w:r>
            <w:r w:rsidRPr="00BE3C8E">
              <w:t>ling, independent peer verification and Issued for Construction (IFC) handovers.</w:t>
            </w:r>
          </w:p>
        </w:tc>
      </w:tr>
      <w:tr w:rsidR="00A1402F" w:rsidRPr="00486B1A" w14:paraId="4DE20B5F" w14:textId="77777777" w:rsidTr="008049ED">
        <w:tc>
          <w:tcPr>
            <w:tcW w:w="0" w:type="auto"/>
            <w:tcMar>
              <w:top w:w="150" w:type="dxa"/>
              <w:left w:w="150" w:type="dxa"/>
              <w:bottom w:w="150" w:type="dxa"/>
              <w:right w:w="150" w:type="dxa"/>
            </w:tcMar>
          </w:tcPr>
          <w:p w14:paraId="25C629DB" w14:textId="4741FA08" w:rsidR="00A1402F" w:rsidRDefault="00A1402F" w:rsidP="00C06859">
            <w:pPr>
              <w:spacing w:after="0"/>
              <w:rPr>
                <w:b/>
                <w:bCs/>
              </w:rPr>
            </w:pPr>
            <w:r>
              <w:rPr>
                <w:b/>
                <w:bCs/>
              </w:rPr>
              <w:t>Target Audience</w:t>
            </w:r>
          </w:p>
        </w:tc>
        <w:tc>
          <w:tcPr>
            <w:tcW w:w="0" w:type="auto"/>
            <w:tcMar>
              <w:top w:w="150" w:type="dxa"/>
              <w:left w:w="150" w:type="dxa"/>
              <w:bottom w:w="150" w:type="dxa"/>
              <w:right w:w="150" w:type="dxa"/>
            </w:tcMar>
          </w:tcPr>
          <w:p w14:paraId="3E409006" w14:textId="250C9C46" w:rsidR="00A1402F" w:rsidRPr="00A1402F" w:rsidRDefault="00DD1823" w:rsidP="00A1402F">
            <w:pPr>
              <w:spacing w:after="0"/>
            </w:pPr>
            <w:r w:rsidRPr="00DD1823">
              <w:t>All Personnel, Project Managers, Engineering Teams, and Sub-consultants</w:t>
            </w:r>
            <w:r w:rsidR="003845F2">
              <w:t>.</w:t>
            </w:r>
          </w:p>
        </w:tc>
      </w:tr>
    </w:tbl>
    <w:p w14:paraId="7B4DEA3E" w14:textId="77777777" w:rsidR="00CF3773" w:rsidRDefault="00CF3773" w:rsidP="00C06859">
      <w:pPr>
        <w:pStyle w:val="Heading2"/>
        <w:spacing w:before="0" w:after="0"/>
      </w:pPr>
    </w:p>
    <w:p w14:paraId="072E736E" w14:textId="2256A7B6" w:rsidR="00486B1A" w:rsidRDefault="00486B1A" w:rsidP="00C06859">
      <w:pPr>
        <w:pStyle w:val="Heading2"/>
        <w:spacing w:before="0" w:after="0"/>
      </w:pPr>
      <w:r w:rsidRPr="00486B1A">
        <w:t xml:space="preserve">Section B: </w:t>
      </w:r>
      <w:r w:rsidR="00975AA9">
        <w:t xml:space="preserve">ISO </w:t>
      </w:r>
      <w:r w:rsidR="00BE3C8E">
        <w:t>90</w:t>
      </w:r>
      <w:r w:rsidR="00975AA9">
        <w:t>01 Framework Commitments</w:t>
      </w:r>
    </w:p>
    <w:p w14:paraId="0CDB7F1B" w14:textId="77777777" w:rsidR="00525B8A" w:rsidRPr="00525B8A" w:rsidRDefault="00525B8A" w:rsidP="00525B8A"/>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393E9C" w:rsidRPr="00486B1A" w14:paraId="4F5A2275" w14:textId="77777777" w:rsidTr="008049ED">
        <w:trPr>
          <w:cantSplit/>
        </w:trPr>
        <w:tc>
          <w:tcPr>
            <w:tcW w:w="9064" w:type="dxa"/>
            <w:gridSpan w:val="2"/>
            <w:shd w:val="clear" w:color="auto" w:fill="1A365D"/>
            <w:tcMar>
              <w:top w:w="150" w:type="dxa"/>
              <w:left w:w="150" w:type="dxa"/>
              <w:bottom w:w="150" w:type="dxa"/>
              <w:right w:w="150" w:type="dxa"/>
            </w:tcMar>
            <w:hideMark/>
          </w:tcPr>
          <w:p w14:paraId="052AD733" w14:textId="4702C8A4" w:rsidR="00393E9C" w:rsidRPr="00486B1A" w:rsidRDefault="00BE3C8E" w:rsidP="00C06859">
            <w:pPr>
              <w:spacing w:after="0"/>
              <w:rPr>
                <w:b/>
                <w:bCs/>
              </w:rPr>
            </w:pPr>
            <w:r w:rsidRPr="00BE3C8E">
              <w:rPr>
                <w:b/>
                <w:bCs/>
              </w:rPr>
              <w:t>To maintain a robust, compliant Quality Management System (QMS) Velocity Civil commits to the following strategic pillars:</w:t>
            </w:r>
          </w:p>
        </w:tc>
      </w:tr>
      <w:tr w:rsidR="00CF3773" w:rsidRPr="00486B1A" w14:paraId="4B96550B" w14:textId="77777777" w:rsidTr="008049ED">
        <w:tc>
          <w:tcPr>
            <w:tcW w:w="2119" w:type="dxa"/>
            <w:tcMar>
              <w:top w:w="150" w:type="dxa"/>
              <w:left w:w="150" w:type="dxa"/>
              <w:bottom w:w="150" w:type="dxa"/>
              <w:right w:w="150" w:type="dxa"/>
            </w:tcMar>
          </w:tcPr>
          <w:p w14:paraId="4FE8B4D9" w14:textId="430173D3" w:rsidR="00CF3773" w:rsidRPr="00B60463" w:rsidRDefault="00D37AB3" w:rsidP="00C06859">
            <w:pPr>
              <w:spacing w:after="0"/>
              <w:rPr>
                <w:b/>
                <w:bCs/>
              </w:rPr>
            </w:pPr>
            <w:r w:rsidRPr="00D37AB3">
              <w:rPr>
                <w:b/>
                <w:bCs/>
              </w:rPr>
              <w:t>Customer Focus &amp; Expectation Management</w:t>
            </w:r>
          </w:p>
        </w:tc>
        <w:tc>
          <w:tcPr>
            <w:tcW w:w="6945" w:type="dxa"/>
            <w:tcMar>
              <w:top w:w="150" w:type="dxa"/>
              <w:left w:w="150" w:type="dxa"/>
              <w:bottom w:w="150" w:type="dxa"/>
              <w:right w:w="150" w:type="dxa"/>
            </w:tcMar>
            <w:hideMark/>
          </w:tcPr>
          <w:p w14:paraId="2D6EDA93" w14:textId="3B722C0E" w:rsidR="00CF3773" w:rsidRPr="00B60463" w:rsidRDefault="00785EF7" w:rsidP="00855D80">
            <w:pPr>
              <w:spacing w:after="0"/>
            </w:pPr>
            <w:r w:rsidRPr="00785EF7">
              <w:t>We will actively capture, analy</w:t>
            </w:r>
            <w:r w:rsidR="00E86A6B">
              <w:t>s</w:t>
            </w:r>
            <w:r w:rsidRPr="00785EF7">
              <w:t>e, and translate client requirements into robust engineering specifications, ensuring clear lines of communication and transparent tracking of project milestones through our integrated management systems.</w:t>
            </w:r>
          </w:p>
        </w:tc>
      </w:tr>
      <w:tr w:rsidR="00CF3773" w:rsidRPr="00486B1A" w14:paraId="2C073C51" w14:textId="77777777" w:rsidTr="008049ED">
        <w:tc>
          <w:tcPr>
            <w:tcW w:w="2119" w:type="dxa"/>
            <w:tcMar>
              <w:top w:w="150" w:type="dxa"/>
              <w:left w:w="150" w:type="dxa"/>
              <w:bottom w:w="150" w:type="dxa"/>
              <w:right w:w="150" w:type="dxa"/>
            </w:tcMar>
          </w:tcPr>
          <w:p w14:paraId="614959A4" w14:textId="57F01BC7" w:rsidR="00CF3773" w:rsidRPr="00B60463" w:rsidRDefault="00D37AB3" w:rsidP="00C06859">
            <w:pPr>
              <w:spacing w:after="0"/>
              <w:rPr>
                <w:b/>
                <w:bCs/>
              </w:rPr>
            </w:pPr>
            <w:r w:rsidRPr="00D37AB3">
              <w:rPr>
                <w:b/>
                <w:bCs/>
              </w:rPr>
              <w:t>Leadership &amp; Technical Accountability</w:t>
            </w:r>
          </w:p>
        </w:tc>
        <w:tc>
          <w:tcPr>
            <w:tcW w:w="6945" w:type="dxa"/>
            <w:tcMar>
              <w:top w:w="150" w:type="dxa"/>
              <w:left w:w="150" w:type="dxa"/>
              <w:bottom w:w="150" w:type="dxa"/>
              <w:right w:w="150" w:type="dxa"/>
            </w:tcMar>
            <w:hideMark/>
          </w:tcPr>
          <w:p w14:paraId="5600CFD4" w14:textId="46DD4DB0" w:rsidR="00CF3773" w:rsidRPr="00B60463" w:rsidRDefault="00855D80" w:rsidP="00855D80">
            <w:pPr>
              <w:spacing w:after="0"/>
            </w:pPr>
            <w:r w:rsidRPr="00855D80">
              <w:t xml:space="preserve">Velocity Civil leadership will provide the necessary resources, advanced software infrastructure (AutoCAD/BIM suites) and ongoing training to ensure design teams perform at the peak of professional capability. Technical </w:t>
            </w:r>
            <w:r w:rsidR="00E86A6B" w:rsidRPr="00855D80">
              <w:t>signoffs</w:t>
            </w:r>
            <w:r w:rsidRPr="00855D80">
              <w:t xml:space="preserve"> will remain strictly tied to qualified, registered professionals.</w:t>
            </w:r>
          </w:p>
        </w:tc>
      </w:tr>
      <w:tr w:rsidR="00CF3773" w:rsidRPr="00486B1A" w14:paraId="04F65059" w14:textId="77777777" w:rsidTr="008049ED">
        <w:tc>
          <w:tcPr>
            <w:tcW w:w="2119" w:type="dxa"/>
            <w:tcMar>
              <w:top w:w="150" w:type="dxa"/>
              <w:left w:w="150" w:type="dxa"/>
              <w:bottom w:w="150" w:type="dxa"/>
              <w:right w:w="150" w:type="dxa"/>
            </w:tcMar>
          </w:tcPr>
          <w:p w14:paraId="2CA1B3FD" w14:textId="1953A51F" w:rsidR="00CF3773" w:rsidRPr="00B60463" w:rsidRDefault="00D37AB3" w:rsidP="00C06859">
            <w:pPr>
              <w:spacing w:after="0"/>
              <w:rPr>
                <w:b/>
                <w:bCs/>
              </w:rPr>
            </w:pPr>
            <w:r w:rsidRPr="00D37AB3">
              <w:rPr>
                <w:b/>
                <w:bCs/>
              </w:rPr>
              <w:t>The Process Approach &amp; Design Control</w:t>
            </w:r>
          </w:p>
        </w:tc>
        <w:tc>
          <w:tcPr>
            <w:tcW w:w="6945" w:type="dxa"/>
            <w:tcMar>
              <w:top w:w="150" w:type="dxa"/>
              <w:left w:w="150" w:type="dxa"/>
              <w:bottom w:w="150" w:type="dxa"/>
              <w:right w:w="150" w:type="dxa"/>
            </w:tcMar>
            <w:hideMark/>
          </w:tcPr>
          <w:p w14:paraId="1D229FDA" w14:textId="77777777" w:rsidR="00855D80" w:rsidRPr="00855D80" w:rsidRDefault="00855D80" w:rsidP="00855D80">
            <w:pPr>
              <w:spacing w:after="0"/>
            </w:pPr>
            <w:r w:rsidRPr="00855D80">
              <w:t>We manage our design activities as interrelated processes rather than isolated tasks. Our strict Design Control workflow mandates three key execution milestones:</w:t>
            </w:r>
          </w:p>
          <w:p w14:paraId="545B1D19" w14:textId="32FA2C2F" w:rsidR="00855D80" w:rsidRPr="00855D80" w:rsidRDefault="00855D80" w:rsidP="00855D80">
            <w:pPr>
              <w:pStyle w:val="ListParagraph"/>
              <w:numPr>
                <w:ilvl w:val="0"/>
                <w:numId w:val="7"/>
              </w:numPr>
              <w:spacing w:after="0"/>
              <w:ind w:left="415"/>
            </w:pPr>
            <w:r w:rsidRPr="00855D80">
              <w:t>Design Inputs: Rigorous review of survey data, geotechnical reports and structural load briefs before drawing begins.</w:t>
            </w:r>
          </w:p>
          <w:p w14:paraId="46783D0C" w14:textId="427DD958" w:rsidR="00855D80" w:rsidRPr="00855D80" w:rsidRDefault="00855D80" w:rsidP="00855D80">
            <w:pPr>
              <w:pStyle w:val="ListParagraph"/>
              <w:numPr>
                <w:ilvl w:val="0"/>
                <w:numId w:val="7"/>
              </w:numPr>
              <w:spacing w:after="0"/>
              <w:ind w:left="415"/>
            </w:pPr>
            <w:r w:rsidRPr="00855D80">
              <w:lastRenderedPageBreak/>
              <w:t>Design Verification: Independent technical peer review of all structural calculations, beam analyses and hydraulic designs by a secondary qualified engineer.</w:t>
            </w:r>
          </w:p>
          <w:p w14:paraId="5282AC1A" w14:textId="061BCBB2" w:rsidR="00CF3773" w:rsidRPr="00E917B9" w:rsidRDefault="00855D80" w:rsidP="00855D80">
            <w:pPr>
              <w:pStyle w:val="ListParagraph"/>
              <w:numPr>
                <w:ilvl w:val="0"/>
                <w:numId w:val="7"/>
              </w:numPr>
              <w:spacing w:after="0"/>
              <w:ind w:left="415"/>
            </w:pPr>
            <w:r w:rsidRPr="00855D80">
              <w:t>Design Validation: Final cross-checks against local planning codes, Australian Standards and the client’s practical intent prior to authori</w:t>
            </w:r>
            <w:r w:rsidR="00E86A6B">
              <w:t>s</w:t>
            </w:r>
            <w:r w:rsidRPr="00855D80">
              <w:t>ation.</w:t>
            </w:r>
          </w:p>
        </w:tc>
      </w:tr>
      <w:tr w:rsidR="00C82326" w:rsidRPr="00486B1A" w14:paraId="4AA09D3C" w14:textId="77777777" w:rsidTr="008049ED">
        <w:tc>
          <w:tcPr>
            <w:tcW w:w="2119" w:type="dxa"/>
            <w:tcMar>
              <w:top w:w="150" w:type="dxa"/>
              <w:left w:w="150" w:type="dxa"/>
              <w:bottom w:w="150" w:type="dxa"/>
              <w:right w:w="150" w:type="dxa"/>
            </w:tcMar>
          </w:tcPr>
          <w:p w14:paraId="69FC6E50" w14:textId="165E4691" w:rsidR="00C82326" w:rsidRPr="00C82326" w:rsidRDefault="00785EF7" w:rsidP="00C06859">
            <w:pPr>
              <w:spacing w:after="0"/>
              <w:rPr>
                <w:b/>
                <w:bCs/>
              </w:rPr>
            </w:pPr>
            <w:r w:rsidRPr="00785EF7">
              <w:rPr>
                <w:b/>
                <w:bCs/>
              </w:rPr>
              <w:lastRenderedPageBreak/>
              <w:t>Risk-Based Thinking &amp; Decision Making</w:t>
            </w:r>
          </w:p>
        </w:tc>
        <w:tc>
          <w:tcPr>
            <w:tcW w:w="6945" w:type="dxa"/>
            <w:tcMar>
              <w:top w:w="150" w:type="dxa"/>
              <w:left w:w="150" w:type="dxa"/>
              <w:bottom w:w="150" w:type="dxa"/>
              <w:right w:w="150" w:type="dxa"/>
            </w:tcMar>
          </w:tcPr>
          <w:p w14:paraId="1420D539" w14:textId="1C646A56" w:rsidR="00C82326" w:rsidRPr="00C82326" w:rsidRDefault="00855D80" w:rsidP="00C82326">
            <w:pPr>
              <w:spacing w:after="0"/>
            </w:pPr>
            <w:r w:rsidRPr="00855D80">
              <w:t>We embed risk management at the earliest project stage. By identifying technical anomalies, tight council regulations and complex ground constraints early, we mitigate design errors before they advance to the construction phase.</w:t>
            </w:r>
          </w:p>
        </w:tc>
      </w:tr>
      <w:tr w:rsidR="00C136EB" w:rsidRPr="00486B1A" w14:paraId="21FABD68" w14:textId="77777777" w:rsidTr="008049ED">
        <w:tc>
          <w:tcPr>
            <w:tcW w:w="2119" w:type="dxa"/>
            <w:tcMar>
              <w:top w:w="150" w:type="dxa"/>
              <w:left w:w="150" w:type="dxa"/>
              <w:bottom w:w="150" w:type="dxa"/>
              <w:right w:w="150" w:type="dxa"/>
            </w:tcMar>
          </w:tcPr>
          <w:p w14:paraId="43F089B9" w14:textId="19734CDF" w:rsidR="00C136EB" w:rsidRPr="00C82326" w:rsidRDefault="00785EF7" w:rsidP="00C06859">
            <w:pPr>
              <w:spacing w:after="0"/>
              <w:rPr>
                <w:b/>
                <w:bCs/>
              </w:rPr>
            </w:pPr>
            <w:r w:rsidRPr="00785EF7">
              <w:rPr>
                <w:b/>
                <w:bCs/>
              </w:rPr>
              <w:t>Evidence-Based Improvement</w:t>
            </w:r>
          </w:p>
        </w:tc>
        <w:tc>
          <w:tcPr>
            <w:tcW w:w="6945" w:type="dxa"/>
            <w:tcMar>
              <w:top w:w="150" w:type="dxa"/>
              <w:left w:w="150" w:type="dxa"/>
              <w:bottom w:w="150" w:type="dxa"/>
              <w:right w:w="150" w:type="dxa"/>
            </w:tcMar>
          </w:tcPr>
          <w:p w14:paraId="7DE053C6" w14:textId="216D030C" w:rsidR="00C136EB" w:rsidRPr="00C82326" w:rsidRDefault="00855D80" w:rsidP="00C82326">
            <w:pPr>
              <w:spacing w:after="0"/>
            </w:pPr>
            <w:r w:rsidRPr="00855D80">
              <w:t>Our operational decisions are driven by data. We systematically track and analy</w:t>
            </w:r>
            <w:r w:rsidR="001653DA">
              <w:t>s</w:t>
            </w:r>
            <w:r w:rsidRPr="00855D80">
              <w:t>e key performance metrics, internal audit findings, design non-conformances and direct client feedback to drive root-cause correction and process optimi</w:t>
            </w:r>
            <w:r w:rsidR="001653DA">
              <w:t>s</w:t>
            </w:r>
            <w:r w:rsidRPr="00855D80">
              <w:t>ation.</w:t>
            </w:r>
          </w:p>
        </w:tc>
      </w:tr>
    </w:tbl>
    <w:p w14:paraId="6375CF61" w14:textId="77777777" w:rsidR="00D50E11" w:rsidRPr="00D50E11" w:rsidRDefault="00D50E11" w:rsidP="00C06859">
      <w:pPr>
        <w:pStyle w:val="Heading3"/>
        <w:spacing w:before="0" w:after="0"/>
        <w:rPr>
          <w:sz w:val="24"/>
          <w:szCs w:val="24"/>
        </w:rPr>
      </w:pPr>
    </w:p>
    <w:p w14:paraId="56D891BE" w14:textId="48191381" w:rsidR="00486B1A" w:rsidRDefault="00486B1A" w:rsidP="00C06859">
      <w:pPr>
        <w:pStyle w:val="Heading3"/>
        <w:spacing w:before="0" w:after="0"/>
      </w:pPr>
      <w:r w:rsidRPr="00486B1A">
        <w:t xml:space="preserve">Section C: </w:t>
      </w:r>
      <w:r w:rsidR="00DD0BF8">
        <w:t>Roles and Responsibilities</w:t>
      </w:r>
    </w:p>
    <w:p w14:paraId="5211628E" w14:textId="77777777" w:rsidR="00525B8A" w:rsidRPr="00525B8A" w:rsidRDefault="00525B8A" w:rsidP="00525B8A"/>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E64AF6" w:rsidRPr="00486B1A" w14:paraId="44212E6D" w14:textId="77777777" w:rsidTr="008049ED">
        <w:trPr>
          <w:cantSplit/>
        </w:trPr>
        <w:tc>
          <w:tcPr>
            <w:tcW w:w="9064" w:type="dxa"/>
            <w:gridSpan w:val="2"/>
            <w:shd w:val="clear" w:color="auto" w:fill="1A365D"/>
            <w:tcMar>
              <w:top w:w="150" w:type="dxa"/>
              <w:left w:w="150" w:type="dxa"/>
              <w:bottom w:w="150" w:type="dxa"/>
              <w:right w:w="150" w:type="dxa"/>
            </w:tcMar>
            <w:hideMark/>
          </w:tcPr>
          <w:p w14:paraId="35B03655" w14:textId="0EE24418" w:rsidR="00E64AF6" w:rsidRPr="00486B1A" w:rsidRDefault="006F43E1" w:rsidP="00C06859">
            <w:pPr>
              <w:spacing w:after="0"/>
              <w:rPr>
                <w:b/>
                <w:bCs/>
              </w:rPr>
            </w:pPr>
            <w:r w:rsidRPr="006F43E1">
              <w:rPr>
                <w:b/>
                <w:bCs/>
              </w:rPr>
              <w:t>This section defines the mandatory accountability and statutory duties required at every level of Velocity Civil to maintain absolute engineering governance, safety compliance and ISO certification standards.</w:t>
            </w:r>
          </w:p>
        </w:tc>
      </w:tr>
      <w:tr w:rsidR="00E64AF6" w:rsidRPr="00486B1A" w14:paraId="1AA0B22A" w14:textId="77777777" w:rsidTr="008049ED">
        <w:tc>
          <w:tcPr>
            <w:tcW w:w="2119" w:type="dxa"/>
            <w:tcMar>
              <w:top w:w="150" w:type="dxa"/>
              <w:left w:w="150" w:type="dxa"/>
              <w:bottom w:w="150" w:type="dxa"/>
              <w:right w:w="150" w:type="dxa"/>
            </w:tcMar>
          </w:tcPr>
          <w:p w14:paraId="47FED361" w14:textId="7CB7F14C" w:rsidR="00197061" w:rsidRPr="00F45DC7" w:rsidRDefault="005B4DBD" w:rsidP="00C06859">
            <w:pPr>
              <w:spacing w:after="0"/>
              <w:rPr>
                <w:b/>
                <w:bCs/>
              </w:rPr>
            </w:pPr>
            <w:r w:rsidRPr="005B4DBD">
              <w:rPr>
                <w:b/>
                <w:bCs/>
              </w:rPr>
              <w:t xml:space="preserve">Top Management </w:t>
            </w:r>
          </w:p>
        </w:tc>
        <w:tc>
          <w:tcPr>
            <w:tcW w:w="6945" w:type="dxa"/>
            <w:tcMar>
              <w:top w:w="150" w:type="dxa"/>
              <w:left w:w="150" w:type="dxa"/>
              <w:bottom w:w="150" w:type="dxa"/>
              <w:right w:w="150" w:type="dxa"/>
            </w:tcMar>
            <w:hideMark/>
          </w:tcPr>
          <w:p w14:paraId="16000A88" w14:textId="0A3E55E0" w:rsidR="00E64AF6" w:rsidRPr="00486B1A" w:rsidRDefault="003F2723" w:rsidP="009F4F89">
            <w:pPr>
              <w:pStyle w:val="ListParagraph"/>
              <w:numPr>
                <w:ilvl w:val="0"/>
                <w:numId w:val="7"/>
              </w:numPr>
              <w:spacing w:after="0"/>
              <w:ind w:left="415"/>
            </w:pPr>
            <w:r w:rsidRPr="003F2723">
              <w:t>Retains ultimate accountability for the QMS, setting quality objectives</w:t>
            </w:r>
            <w:r w:rsidR="002E44D6">
              <w:t xml:space="preserve"> </w:t>
            </w:r>
            <w:r w:rsidRPr="003F2723">
              <w:t>and conducting formal annual management reviews.</w:t>
            </w:r>
          </w:p>
        </w:tc>
      </w:tr>
      <w:tr w:rsidR="00E64AF6" w:rsidRPr="00486B1A" w14:paraId="6EAFA13D" w14:textId="77777777" w:rsidTr="008049ED">
        <w:tc>
          <w:tcPr>
            <w:tcW w:w="2119" w:type="dxa"/>
            <w:tcMar>
              <w:top w:w="150" w:type="dxa"/>
              <w:left w:w="150" w:type="dxa"/>
              <w:bottom w:w="150" w:type="dxa"/>
              <w:right w:w="150" w:type="dxa"/>
            </w:tcMar>
          </w:tcPr>
          <w:p w14:paraId="21DFB5EC" w14:textId="522A5A2A" w:rsidR="00197061" w:rsidRPr="00F45DC7" w:rsidRDefault="005B4DBD" w:rsidP="00C06859">
            <w:pPr>
              <w:spacing w:after="0"/>
              <w:rPr>
                <w:b/>
                <w:bCs/>
              </w:rPr>
            </w:pPr>
            <w:r w:rsidRPr="005B4DBD">
              <w:rPr>
                <w:b/>
                <w:bCs/>
              </w:rPr>
              <w:t xml:space="preserve">Principal Civil Engineer </w:t>
            </w:r>
          </w:p>
        </w:tc>
        <w:tc>
          <w:tcPr>
            <w:tcW w:w="6945" w:type="dxa"/>
            <w:tcMar>
              <w:top w:w="150" w:type="dxa"/>
              <w:left w:w="150" w:type="dxa"/>
              <w:bottom w:w="150" w:type="dxa"/>
              <w:right w:w="150" w:type="dxa"/>
            </w:tcMar>
            <w:hideMark/>
          </w:tcPr>
          <w:p w14:paraId="1E52EF36" w14:textId="1F1923BC" w:rsidR="00E64AF6" w:rsidRPr="00486B1A" w:rsidRDefault="003F2723" w:rsidP="009F4F89">
            <w:pPr>
              <w:pStyle w:val="ListParagraph"/>
              <w:numPr>
                <w:ilvl w:val="0"/>
                <w:numId w:val="7"/>
              </w:numPr>
              <w:spacing w:after="0"/>
              <w:ind w:left="415"/>
            </w:pPr>
            <w:r w:rsidRPr="003F2723">
              <w:t>Responsible for technical governance, approving engineering methodologies and maintaining the delegation matrix for drawing verification and final certification.</w:t>
            </w:r>
          </w:p>
        </w:tc>
      </w:tr>
      <w:tr w:rsidR="00697612" w:rsidRPr="00486B1A" w14:paraId="0F114F9D" w14:textId="77777777" w:rsidTr="008049ED">
        <w:tc>
          <w:tcPr>
            <w:tcW w:w="2119" w:type="dxa"/>
            <w:tcMar>
              <w:top w:w="150" w:type="dxa"/>
              <w:left w:w="150" w:type="dxa"/>
              <w:bottom w:w="150" w:type="dxa"/>
              <w:right w:w="150" w:type="dxa"/>
            </w:tcMar>
          </w:tcPr>
          <w:p w14:paraId="66C61347" w14:textId="4CE30AC8" w:rsidR="00A3685F" w:rsidRPr="00F45DC7" w:rsidRDefault="00D0342F" w:rsidP="00C06859">
            <w:pPr>
              <w:spacing w:after="0"/>
              <w:rPr>
                <w:b/>
                <w:bCs/>
              </w:rPr>
            </w:pPr>
            <w:r w:rsidRPr="00D0342F">
              <w:rPr>
                <w:b/>
                <w:bCs/>
              </w:rPr>
              <w:t>Quality &amp; Compliance Coordinator</w:t>
            </w:r>
          </w:p>
        </w:tc>
        <w:tc>
          <w:tcPr>
            <w:tcW w:w="6945" w:type="dxa"/>
            <w:tcMar>
              <w:top w:w="150" w:type="dxa"/>
              <w:left w:w="150" w:type="dxa"/>
              <w:bottom w:w="150" w:type="dxa"/>
              <w:right w:w="150" w:type="dxa"/>
            </w:tcMar>
          </w:tcPr>
          <w:p w14:paraId="57DE87EC" w14:textId="21D8D28E" w:rsidR="00697612" w:rsidRPr="006233FD" w:rsidRDefault="00D0342F" w:rsidP="00C20BDA">
            <w:pPr>
              <w:pStyle w:val="ListParagraph"/>
              <w:numPr>
                <w:ilvl w:val="0"/>
                <w:numId w:val="7"/>
              </w:numPr>
              <w:spacing w:after="0"/>
              <w:ind w:left="415"/>
            </w:pPr>
            <w:r w:rsidRPr="00D0342F">
              <w:t>Responsible for the day-to-day administration of the QMS, organi</w:t>
            </w:r>
            <w:r w:rsidR="002E44D6">
              <w:t>s</w:t>
            </w:r>
            <w:r w:rsidRPr="00D0342F">
              <w:t>ing internal audits, maintaining version-controlled document registers and tracking non-conformances.</w:t>
            </w:r>
          </w:p>
        </w:tc>
      </w:tr>
      <w:tr w:rsidR="005B4DBD" w:rsidRPr="00486B1A" w14:paraId="5F07C35F" w14:textId="77777777" w:rsidTr="008049ED">
        <w:tc>
          <w:tcPr>
            <w:tcW w:w="2119" w:type="dxa"/>
            <w:tcMar>
              <w:top w:w="150" w:type="dxa"/>
              <w:left w:w="150" w:type="dxa"/>
              <w:bottom w:w="150" w:type="dxa"/>
              <w:right w:w="150" w:type="dxa"/>
            </w:tcMar>
          </w:tcPr>
          <w:p w14:paraId="6D91CA33" w14:textId="1D3BFAA4" w:rsidR="005B4DBD" w:rsidRPr="005B4DBD" w:rsidRDefault="0080098A" w:rsidP="00C06859">
            <w:pPr>
              <w:spacing w:after="0"/>
              <w:rPr>
                <w:b/>
                <w:bCs/>
              </w:rPr>
            </w:pPr>
            <w:r w:rsidRPr="0080098A">
              <w:rPr>
                <w:b/>
                <w:bCs/>
              </w:rPr>
              <w:t>Design Engineers &amp; Project Leads:</w:t>
            </w:r>
          </w:p>
        </w:tc>
        <w:tc>
          <w:tcPr>
            <w:tcW w:w="6945" w:type="dxa"/>
            <w:tcMar>
              <w:top w:w="150" w:type="dxa"/>
              <w:left w:w="150" w:type="dxa"/>
              <w:bottom w:w="150" w:type="dxa"/>
              <w:right w:w="150" w:type="dxa"/>
            </w:tcMar>
          </w:tcPr>
          <w:p w14:paraId="0D06F593" w14:textId="16126116" w:rsidR="005B4DBD" w:rsidRPr="009F4F89" w:rsidRDefault="0080098A" w:rsidP="009F4F89">
            <w:pPr>
              <w:pStyle w:val="ListParagraph"/>
              <w:numPr>
                <w:ilvl w:val="0"/>
                <w:numId w:val="7"/>
              </w:numPr>
              <w:spacing w:after="0"/>
              <w:ind w:left="415"/>
            </w:pPr>
            <w:r w:rsidRPr="0080098A">
              <w:t>Responsible for adhering to established design check processes, maintaining calculation records and ensuring sub-consultants meet Velocity Civil quality baselines.</w:t>
            </w:r>
          </w:p>
        </w:tc>
      </w:tr>
      <w:tr w:rsidR="0080098A" w:rsidRPr="00486B1A" w14:paraId="31327612" w14:textId="77777777" w:rsidTr="008049ED">
        <w:tc>
          <w:tcPr>
            <w:tcW w:w="2119" w:type="dxa"/>
            <w:tcMar>
              <w:top w:w="150" w:type="dxa"/>
              <w:left w:w="150" w:type="dxa"/>
              <w:bottom w:w="150" w:type="dxa"/>
              <w:right w:w="150" w:type="dxa"/>
            </w:tcMar>
          </w:tcPr>
          <w:p w14:paraId="4354D740" w14:textId="740335D8" w:rsidR="0080098A" w:rsidRPr="0080098A" w:rsidRDefault="0080098A" w:rsidP="00C06859">
            <w:pPr>
              <w:spacing w:after="0"/>
              <w:rPr>
                <w:b/>
                <w:bCs/>
              </w:rPr>
            </w:pPr>
            <w:r w:rsidRPr="0080098A">
              <w:rPr>
                <w:b/>
                <w:bCs/>
              </w:rPr>
              <w:t>Draftspersons &amp; Technical Staff</w:t>
            </w:r>
          </w:p>
        </w:tc>
        <w:tc>
          <w:tcPr>
            <w:tcW w:w="6945" w:type="dxa"/>
            <w:tcMar>
              <w:top w:w="150" w:type="dxa"/>
              <w:left w:w="150" w:type="dxa"/>
              <w:bottom w:w="150" w:type="dxa"/>
              <w:right w:w="150" w:type="dxa"/>
            </w:tcMar>
          </w:tcPr>
          <w:p w14:paraId="28D291DC" w14:textId="18F8498C" w:rsidR="0080098A" w:rsidRPr="00DE4D47" w:rsidRDefault="0080098A" w:rsidP="009F4F89">
            <w:pPr>
              <w:pStyle w:val="ListParagraph"/>
              <w:numPr>
                <w:ilvl w:val="0"/>
                <w:numId w:val="7"/>
              </w:numPr>
              <w:spacing w:after="0"/>
              <w:ind w:left="415"/>
            </w:pPr>
            <w:r w:rsidRPr="0080098A">
              <w:t>Responsible for strict compliance with corporate CAD/BIM mode</w:t>
            </w:r>
            <w:r w:rsidR="002E44D6">
              <w:t>l</w:t>
            </w:r>
            <w:r w:rsidRPr="0080098A">
              <w:t>ling standards, layers and version-control naming conventions.</w:t>
            </w:r>
          </w:p>
        </w:tc>
      </w:tr>
    </w:tbl>
    <w:p w14:paraId="1906D1ED" w14:textId="77777777" w:rsidR="00E64AF6" w:rsidRDefault="00E64AF6" w:rsidP="00C06859">
      <w:pPr>
        <w:spacing w:after="0"/>
      </w:pPr>
    </w:p>
    <w:p w14:paraId="7A851697" w14:textId="1F0ACC99" w:rsidR="005B7CDB" w:rsidRDefault="005B7CDB" w:rsidP="00C06859">
      <w:pPr>
        <w:pStyle w:val="Heading3"/>
        <w:spacing w:before="0" w:after="0"/>
      </w:pPr>
      <w:r w:rsidRPr="00486B1A">
        <w:lastRenderedPageBreak/>
        <w:t xml:space="preserve">Section </w:t>
      </w:r>
      <w:r>
        <w:t>D</w:t>
      </w:r>
      <w:r w:rsidRPr="00486B1A">
        <w:t xml:space="preserve">: </w:t>
      </w:r>
      <w:r w:rsidR="00DE4D47">
        <w:t>Communication and Accessibility</w:t>
      </w:r>
    </w:p>
    <w:p w14:paraId="6E5A08E0" w14:textId="77777777" w:rsidR="00525B8A" w:rsidRPr="00525B8A" w:rsidRDefault="00525B8A" w:rsidP="00525B8A"/>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9064"/>
      </w:tblGrid>
      <w:tr w:rsidR="005B7CDB" w:rsidRPr="00486B1A" w14:paraId="1D8920DF" w14:textId="77777777" w:rsidTr="008049ED">
        <w:trPr>
          <w:cantSplit/>
        </w:trPr>
        <w:tc>
          <w:tcPr>
            <w:tcW w:w="9064" w:type="dxa"/>
            <w:shd w:val="clear" w:color="auto" w:fill="1A365D"/>
            <w:tcMar>
              <w:top w:w="150" w:type="dxa"/>
              <w:left w:w="150" w:type="dxa"/>
              <w:bottom w:w="150" w:type="dxa"/>
              <w:right w:w="150" w:type="dxa"/>
            </w:tcMar>
            <w:hideMark/>
          </w:tcPr>
          <w:p w14:paraId="5EC097B7" w14:textId="4A3FD355" w:rsidR="005B7CDB" w:rsidRPr="00486B1A" w:rsidRDefault="00C45926" w:rsidP="00C06859">
            <w:pPr>
              <w:spacing w:after="0"/>
              <w:rPr>
                <w:b/>
                <w:bCs/>
              </w:rPr>
            </w:pPr>
            <w:r w:rsidRPr="00C45926">
              <w:rPr>
                <w:b/>
                <w:bCs/>
              </w:rPr>
              <w:t xml:space="preserve">This policy is maintained as a live document within the corporate digital workspace, embedded into employee induction pathways and visible across all office environments. It is publicly available to all interested parties, including clients, principal contractors and third-party registrars, via the Velocity Civil </w:t>
            </w:r>
            <w:r w:rsidR="002E44D6">
              <w:rPr>
                <w:b/>
                <w:bCs/>
              </w:rPr>
              <w:t>website</w:t>
            </w:r>
            <w:r w:rsidRPr="00C45926">
              <w:rPr>
                <w:b/>
                <w:bCs/>
              </w:rPr>
              <w:t>.</w:t>
            </w:r>
          </w:p>
        </w:tc>
      </w:tr>
    </w:tbl>
    <w:p w14:paraId="06533DC7" w14:textId="77777777" w:rsidR="00551650" w:rsidRDefault="00551650" w:rsidP="00C06859">
      <w:pPr>
        <w:pStyle w:val="Heading2"/>
        <w:spacing w:before="0" w:after="0"/>
      </w:pPr>
    </w:p>
    <w:p w14:paraId="6CC2215F" w14:textId="2CCE6DB3" w:rsidR="00511A5A" w:rsidRDefault="00511A5A" w:rsidP="00C06859">
      <w:pPr>
        <w:pStyle w:val="Heading2"/>
        <w:spacing w:before="0" w:after="0"/>
      </w:pPr>
      <w:r w:rsidRPr="00486B1A">
        <w:t xml:space="preserve">Section </w:t>
      </w:r>
      <w:r>
        <w:t>G: Document Control Register</w:t>
      </w:r>
    </w:p>
    <w:p w14:paraId="750FE3D8" w14:textId="77777777" w:rsidR="00525B8A" w:rsidRPr="00525B8A" w:rsidRDefault="00525B8A" w:rsidP="00525B8A"/>
    <w:tbl>
      <w:tblPr>
        <w:tblW w:w="9067"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315"/>
        <w:gridCol w:w="6752"/>
      </w:tblGrid>
      <w:tr w:rsidR="00511A5A" w:rsidRPr="00486B1A" w14:paraId="2471FDCF" w14:textId="77777777" w:rsidTr="00D67CC1">
        <w:tc>
          <w:tcPr>
            <w:tcW w:w="0" w:type="auto"/>
            <w:tcMar>
              <w:top w:w="150" w:type="dxa"/>
              <w:left w:w="150" w:type="dxa"/>
              <w:bottom w:w="150" w:type="dxa"/>
              <w:right w:w="150" w:type="dxa"/>
            </w:tcMar>
          </w:tcPr>
          <w:p w14:paraId="6E8725A1" w14:textId="20DC0AC7" w:rsidR="00511A5A" w:rsidRPr="00486B1A" w:rsidRDefault="00E85834" w:rsidP="00C06859">
            <w:pPr>
              <w:spacing w:after="0"/>
              <w:rPr>
                <w:b/>
                <w:bCs/>
              </w:rPr>
            </w:pPr>
            <w:r>
              <w:rPr>
                <w:b/>
                <w:bCs/>
              </w:rPr>
              <w:t>Document Identifier</w:t>
            </w:r>
          </w:p>
        </w:tc>
        <w:tc>
          <w:tcPr>
            <w:tcW w:w="6752" w:type="dxa"/>
            <w:tcMar>
              <w:top w:w="150" w:type="dxa"/>
              <w:left w:w="150" w:type="dxa"/>
              <w:bottom w:w="150" w:type="dxa"/>
              <w:right w:w="150" w:type="dxa"/>
            </w:tcMar>
          </w:tcPr>
          <w:p w14:paraId="51BB95E3" w14:textId="118DC155" w:rsidR="00511A5A" w:rsidRPr="00511A5A" w:rsidRDefault="00D25B15" w:rsidP="00C06859">
            <w:pPr>
              <w:spacing w:after="0"/>
            </w:pPr>
            <w:r>
              <w:t>VC-POL_</w:t>
            </w:r>
            <w:r w:rsidR="00C45926">
              <w:t>QMS</w:t>
            </w:r>
            <w:r>
              <w:t>_00</w:t>
            </w:r>
            <w:r w:rsidR="00551650">
              <w:t>1</w:t>
            </w:r>
          </w:p>
        </w:tc>
      </w:tr>
      <w:tr w:rsidR="00511A5A" w:rsidRPr="00486B1A" w14:paraId="6F2FE411" w14:textId="77777777" w:rsidTr="00D67CC1">
        <w:tc>
          <w:tcPr>
            <w:tcW w:w="0" w:type="auto"/>
            <w:tcMar>
              <w:top w:w="150" w:type="dxa"/>
              <w:left w:w="150" w:type="dxa"/>
              <w:bottom w:w="150" w:type="dxa"/>
              <w:right w:w="150" w:type="dxa"/>
            </w:tcMar>
            <w:hideMark/>
          </w:tcPr>
          <w:p w14:paraId="4422A798" w14:textId="7FCA6EB9" w:rsidR="00511A5A" w:rsidRPr="00486B1A" w:rsidRDefault="00E85834" w:rsidP="00C06859">
            <w:pPr>
              <w:spacing w:after="0"/>
            </w:pPr>
            <w:r>
              <w:rPr>
                <w:b/>
                <w:bCs/>
              </w:rPr>
              <w:t>Current Version</w:t>
            </w:r>
          </w:p>
        </w:tc>
        <w:tc>
          <w:tcPr>
            <w:tcW w:w="6752" w:type="dxa"/>
            <w:tcMar>
              <w:top w:w="150" w:type="dxa"/>
              <w:left w:w="150" w:type="dxa"/>
              <w:bottom w:w="150" w:type="dxa"/>
              <w:right w:w="150" w:type="dxa"/>
            </w:tcMar>
            <w:hideMark/>
          </w:tcPr>
          <w:p w14:paraId="0084514F" w14:textId="67A8B653" w:rsidR="00511A5A" w:rsidRPr="00511A5A" w:rsidRDefault="00D25B15" w:rsidP="00C06859">
            <w:pPr>
              <w:spacing w:after="0"/>
            </w:pPr>
            <w:r>
              <w:t>1.0</w:t>
            </w:r>
          </w:p>
        </w:tc>
      </w:tr>
      <w:tr w:rsidR="00E85834" w:rsidRPr="00486B1A" w14:paraId="7E5FB521" w14:textId="77777777" w:rsidTr="00D67CC1">
        <w:tc>
          <w:tcPr>
            <w:tcW w:w="0" w:type="auto"/>
            <w:tcMar>
              <w:top w:w="150" w:type="dxa"/>
              <w:left w:w="150" w:type="dxa"/>
              <w:bottom w:w="150" w:type="dxa"/>
              <w:right w:w="150" w:type="dxa"/>
            </w:tcMar>
          </w:tcPr>
          <w:p w14:paraId="6B6CE092" w14:textId="2F611581" w:rsidR="00E85834" w:rsidRDefault="00E85834" w:rsidP="00C06859">
            <w:pPr>
              <w:spacing w:after="0"/>
              <w:rPr>
                <w:b/>
                <w:bCs/>
              </w:rPr>
            </w:pPr>
            <w:r>
              <w:rPr>
                <w:b/>
                <w:bCs/>
              </w:rPr>
              <w:t>Effective Date</w:t>
            </w:r>
          </w:p>
        </w:tc>
        <w:tc>
          <w:tcPr>
            <w:tcW w:w="6752" w:type="dxa"/>
            <w:tcMar>
              <w:top w:w="150" w:type="dxa"/>
              <w:left w:w="150" w:type="dxa"/>
              <w:bottom w:w="150" w:type="dxa"/>
              <w:right w:w="150" w:type="dxa"/>
            </w:tcMar>
          </w:tcPr>
          <w:p w14:paraId="4AF043A4" w14:textId="627BC62A" w:rsidR="00E85834" w:rsidRPr="00511A5A" w:rsidRDefault="00D67CC1" w:rsidP="00C06859">
            <w:pPr>
              <w:spacing w:after="0"/>
            </w:pPr>
            <w:r>
              <w:t>1</w:t>
            </w:r>
            <w:r w:rsidR="00641638">
              <w:t>5</w:t>
            </w:r>
            <w:r>
              <w:t>/07/2026</w:t>
            </w:r>
          </w:p>
        </w:tc>
      </w:tr>
      <w:tr w:rsidR="00E85834" w:rsidRPr="00486B1A" w14:paraId="3118AF8E" w14:textId="77777777" w:rsidTr="00D67CC1">
        <w:tc>
          <w:tcPr>
            <w:tcW w:w="0" w:type="auto"/>
            <w:tcMar>
              <w:top w:w="150" w:type="dxa"/>
              <w:left w:w="150" w:type="dxa"/>
              <w:bottom w:w="150" w:type="dxa"/>
              <w:right w:w="150" w:type="dxa"/>
            </w:tcMar>
          </w:tcPr>
          <w:p w14:paraId="66E68011" w14:textId="1B06A0A6" w:rsidR="00E85834" w:rsidRDefault="00E85834" w:rsidP="00C06859">
            <w:pPr>
              <w:spacing w:after="0"/>
              <w:rPr>
                <w:b/>
                <w:bCs/>
              </w:rPr>
            </w:pPr>
            <w:r>
              <w:rPr>
                <w:b/>
                <w:bCs/>
              </w:rPr>
              <w:t>Review Date</w:t>
            </w:r>
          </w:p>
        </w:tc>
        <w:tc>
          <w:tcPr>
            <w:tcW w:w="6752" w:type="dxa"/>
            <w:tcMar>
              <w:top w:w="150" w:type="dxa"/>
              <w:left w:w="150" w:type="dxa"/>
              <w:bottom w:w="150" w:type="dxa"/>
              <w:right w:w="150" w:type="dxa"/>
            </w:tcMar>
          </w:tcPr>
          <w:p w14:paraId="33CBEB90" w14:textId="6F642993" w:rsidR="00E85834" w:rsidRPr="00511A5A" w:rsidRDefault="00D67CC1" w:rsidP="00C06859">
            <w:pPr>
              <w:spacing w:after="0"/>
            </w:pPr>
            <w:r>
              <w:t>1</w:t>
            </w:r>
            <w:r w:rsidR="00641638">
              <w:t>5</w:t>
            </w:r>
            <w:r>
              <w:t>/07/2027</w:t>
            </w:r>
          </w:p>
        </w:tc>
      </w:tr>
      <w:tr w:rsidR="00E85834" w:rsidRPr="00486B1A" w14:paraId="29B34A12" w14:textId="77777777" w:rsidTr="00D67CC1">
        <w:tc>
          <w:tcPr>
            <w:tcW w:w="0" w:type="auto"/>
            <w:tcMar>
              <w:top w:w="150" w:type="dxa"/>
              <w:left w:w="150" w:type="dxa"/>
              <w:bottom w:w="150" w:type="dxa"/>
              <w:right w:w="150" w:type="dxa"/>
            </w:tcMar>
          </w:tcPr>
          <w:p w14:paraId="0054F546" w14:textId="77CADF36" w:rsidR="00E85834" w:rsidRDefault="00D25B15" w:rsidP="00C06859">
            <w:pPr>
              <w:spacing w:after="0"/>
              <w:rPr>
                <w:b/>
                <w:bCs/>
              </w:rPr>
            </w:pPr>
            <w:r>
              <w:rPr>
                <w:b/>
                <w:bCs/>
              </w:rPr>
              <w:t>Document Owner</w:t>
            </w:r>
          </w:p>
        </w:tc>
        <w:tc>
          <w:tcPr>
            <w:tcW w:w="6752" w:type="dxa"/>
            <w:tcMar>
              <w:top w:w="150" w:type="dxa"/>
              <w:left w:w="150" w:type="dxa"/>
              <w:bottom w:w="150" w:type="dxa"/>
              <w:right w:w="150" w:type="dxa"/>
            </w:tcMar>
          </w:tcPr>
          <w:p w14:paraId="56522DC9" w14:textId="29DF5429" w:rsidR="00E85834" w:rsidRPr="00511A5A" w:rsidRDefault="00C45926" w:rsidP="00C06859">
            <w:pPr>
              <w:spacing w:after="0"/>
            </w:pPr>
            <w:r>
              <w:t xml:space="preserve">Quality and Compliance </w:t>
            </w:r>
            <w:r w:rsidR="007328EF">
              <w:t>Manager</w:t>
            </w:r>
          </w:p>
        </w:tc>
      </w:tr>
      <w:tr w:rsidR="00E85834" w:rsidRPr="00486B1A" w14:paraId="371AA641" w14:textId="77777777" w:rsidTr="00D67CC1">
        <w:tc>
          <w:tcPr>
            <w:tcW w:w="0" w:type="auto"/>
            <w:tcMar>
              <w:top w:w="150" w:type="dxa"/>
              <w:left w:w="150" w:type="dxa"/>
              <w:bottom w:w="150" w:type="dxa"/>
              <w:right w:w="150" w:type="dxa"/>
            </w:tcMar>
          </w:tcPr>
          <w:p w14:paraId="64C48AD1" w14:textId="56A1F081" w:rsidR="00E85834" w:rsidRDefault="00D25B15" w:rsidP="00C06859">
            <w:pPr>
              <w:spacing w:after="0"/>
              <w:rPr>
                <w:b/>
                <w:bCs/>
              </w:rPr>
            </w:pPr>
            <w:r>
              <w:rPr>
                <w:b/>
                <w:bCs/>
              </w:rPr>
              <w:t>Status</w:t>
            </w:r>
          </w:p>
        </w:tc>
        <w:tc>
          <w:tcPr>
            <w:tcW w:w="6752" w:type="dxa"/>
            <w:tcMar>
              <w:top w:w="150" w:type="dxa"/>
              <w:left w:w="150" w:type="dxa"/>
              <w:bottom w:w="150" w:type="dxa"/>
              <w:right w:w="150" w:type="dxa"/>
            </w:tcMar>
          </w:tcPr>
          <w:p w14:paraId="630E4FDC" w14:textId="628D84DF" w:rsidR="00E85834" w:rsidRPr="00511A5A" w:rsidRDefault="00D67CC1" w:rsidP="00C06859">
            <w:pPr>
              <w:spacing w:after="0"/>
            </w:pPr>
            <w:r>
              <w:t>Approved</w:t>
            </w:r>
          </w:p>
        </w:tc>
      </w:tr>
      <w:tr w:rsidR="00E85834" w:rsidRPr="00486B1A" w14:paraId="0480E4DD" w14:textId="77777777" w:rsidTr="00D67CC1">
        <w:tc>
          <w:tcPr>
            <w:tcW w:w="0" w:type="auto"/>
            <w:tcMar>
              <w:top w:w="150" w:type="dxa"/>
              <w:left w:w="150" w:type="dxa"/>
              <w:bottom w:w="150" w:type="dxa"/>
              <w:right w:w="150" w:type="dxa"/>
            </w:tcMar>
          </w:tcPr>
          <w:p w14:paraId="7463360B" w14:textId="4A3D5E71" w:rsidR="00E85834" w:rsidRDefault="00D25B15" w:rsidP="00C06859">
            <w:pPr>
              <w:spacing w:after="0"/>
              <w:rPr>
                <w:b/>
                <w:bCs/>
              </w:rPr>
            </w:pPr>
            <w:r>
              <w:rPr>
                <w:b/>
                <w:bCs/>
              </w:rPr>
              <w:t>Version History</w:t>
            </w:r>
          </w:p>
        </w:tc>
        <w:tc>
          <w:tcPr>
            <w:tcW w:w="6752" w:type="dxa"/>
            <w:tcMar>
              <w:top w:w="150" w:type="dxa"/>
              <w:left w:w="150" w:type="dxa"/>
              <w:bottom w:w="150" w:type="dxa"/>
              <w:right w:w="150" w:type="dxa"/>
            </w:tcMar>
          </w:tcPr>
          <w:p w14:paraId="3C960044" w14:textId="18C60391" w:rsidR="008049ED" w:rsidRPr="00511A5A" w:rsidRDefault="008049ED" w:rsidP="00C06859">
            <w:pPr>
              <w:spacing w:after="0"/>
            </w:pPr>
            <w:r>
              <w:t>1</w:t>
            </w:r>
            <w:r w:rsidR="00974CDC">
              <w:t>5</w:t>
            </w:r>
            <w:r>
              <w:t xml:space="preserve">/07/2026 </w:t>
            </w:r>
          </w:p>
          <w:p w14:paraId="1D1D34D7" w14:textId="4AE08CB3" w:rsidR="00E85834" w:rsidRPr="00511A5A" w:rsidRDefault="008049ED" w:rsidP="00C06859">
            <w:pPr>
              <w:spacing w:after="0"/>
            </w:pPr>
            <w:r w:rsidRPr="008049ED">
              <w:t xml:space="preserve">Approved and released for </w:t>
            </w:r>
            <w:r w:rsidR="00E74EE8">
              <w:t>organisation</w:t>
            </w:r>
            <w:r w:rsidRPr="008049ED">
              <w:t>-wide implementation</w:t>
            </w:r>
            <w:r>
              <w:t>.</w:t>
            </w:r>
          </w:p>
        </w:tc>
      </w:tr>
    </w:tbl>
    <w:p w14:paraId="249B16B0" w14:textId="77777777" w:rsidR="00511A5A" w:rsidRDefault="00511A5A" w:rsidP="00C06859">
      <w:pPr>
        <w:spacing w:after="0"/>
      </w:pPr>
    </w:p>
    <w:sectPr w:rsidR="00511A5A" w:rsidSect="0073768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FD54" w14:textId="77777777" w:rsidR="00260C67" w:rsidRDefault="00260C67" w:rsidP="00486B1A">
      <w:pPr>
        <w:spacing w:after="0" w:line="240" w:lineRule="auto"/>
      </w:pPr>
      <w:r>
        <w:separator/>
      </w:r>
    </w:p>
  </w:endnote>
  <w:endnote w:type="continuationSeparator" w:id="0">
    <w:p w14:paraId="272A4E63" w14:textId="77777777" w:rsidR="00260C67" w:rsidRDefault="00260C67" w:rsidP="0048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0A86" w14:textId="77777777" w:rsidR="00FB3F76" w:rsidRDefault="00FB3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5E0F" w14:textId="035C187F" w:rsidR="00486B1A" w:rsidRPr="009F07AA" w:rsidRDefault="00260C67" w:rsidP="00486B1A">
    <w:pPr>
      <w:pStyle w:val="Footer"/>
      <w:rPr>
        <w:rFonts w:ascii="Arial" w:hAnsi="Arial" w:cs="Arial"/>
        <w:sz w:val="16"/>
        <w:szCs w:val="16"/>
      </w:rPr>
    </w:pPr>
    <w:sdt>
      <w:sdtPr>
        <w:rPr>
          <w:rFonts w:ascii="Arial" w:hAnsi="Arial" w:cs="Arial"/>
          <w:sz w:val="16"/>
          <w:szCs w:val="16"/>
        </w:rPr>
        <w:alias w:val="Title"/>
        <w:tag w:val=""/>
        <w:id w:val="-1043592905"/>
        <w:placeholder>
          <w:docPart w:val="6436CC39FC3F4F3E9DF750F5CE7130B6"/>
        </w:placeholder>
        <w:dataBinding w:prefixMappings="xmlns:ns0='http://purl.org/dc/elements/1.1/' xmlns:ns1='http://schemas.openxmlformats.org/package/2006/metadata/core-properties' " w:xpath="/ns1:coreProperties[1]/ns0:title[1]" w:storeItemID="{6C3C8BC8-F283-45AE-878A-BAB7291924A1}"/>
        <w:text/>
      </w:sdtPr>
      <w:sdtEndPr/>
      <w:sdtContent>
        <w:r w:rsidR="00834A3F">
          <w:rPr>
            <w:rFonts w:ascii="Arial" w:hAnsi="Arial" w:cs="Arial"/>
            <w:sz w:val="16"/>
            <w:szCs w:val="16"/>
          </w:rPr>
          <w:t>Quality Management Policy</w:t>
        </w:r>
      </w:sdtContent>
    </w:sdt>
    <w:r w:rsidR="00486B1A" w:rsidRPr="009F07AA">
      <w:rPr>
        <w:rFonts w:ascii="Arial" w:hAnsi="Arial" w:cs="Arial"/>
        <w:sz w:val="16"/>
        <w:szCs w:val="16"/>
      </w:rPr>
      <w:t xml:space="preserve"> v1</w:t>
    </w:r>
    <w:r w:rsidR="00486B1A" w:rsidRPr="009F07AA">
      <w:rPr>
        <w:rFonts w:ascii="Arial" w:hAnsi="Arial" w:cs="Arial"/>
        <w:sz w:val="16"/>
        <w:szCs w:val="16"/>
      </w:rPr>
      <w:tab/>
    </w:r>
    <w:r w:rsidR="00486B1A" w:rsidRPr="009F07AA">
      <w:rPr>
        <w:rFonts w:ascii="Arial" w:hAnsi="Arial" w:cs="Arial"/>
        <w:sz w:val="16"/>
        <w:szCs w:val="16"/>
      </w:rPr>
      <w:fldChar w:fldCharType="begin"/>
    </w:r>
    <w:r w:rsidR="00486B1A" w:rsidRPr="009F07AA">
      <w:rPr>
        <w:rFonts w:ascii="Arial" w:hAnsi="Arial" w:cs="Arial"/>
        <w:sz w:val="16"/>
        <w:szCs w:val="16"/>
      </w:rPr>
      <w:instrText xml:space="preserve"> DATE   \* MERGEFORMAT </w:instrText>
    </w:r>
    <w:r w:rsidR="00486B1A" w:rsidRPr="009F07AA">
      <w:rPr>
        <w:rFonts w:ascii="Arial" w:hAnsi="Arial" w:cs="Arial"/>
        <w:sz w:val="16"/>
        <w:szCs w:val="16"/>
      </w:rPr>
      <w:fldChar w:fldCharType="separate"/>
    </w:r>
    <w:r w:rsidR="00525B8A">
      <w:rPr>
        <w:rFonts w:ascii="Arial" w:hAnsi="Arial" w:cs="Arial"/>
        <w:noProof/>
        <w:sz w:val="16"/>
        <w:szCs w:val="16"/>
      </w:rPr>
      <w:t>15/07/2026</w:t>
    </w:r>
    <w:r w:rsidR="00486B1A" w:rsidRPr="009F07AA">
      <w:rPr>
        <w:rFonts w:ascii="Arial" w:hAnsi="Arial" w:cs="Arial"/>
        <w:sz w:val="16"/>
        <w:szCs w:val="16"/>
      </w:rPr>
      <w:fldChar w:fldCharType="end"/>
    </w:r>
    <w:r w:rsidR="00486B1A" w:rsidRPr="009F07AA">
      <w:rPr>
        <w:rFonts w:ascii="Arial" w:hAnsi="Arial" w:cs="Arial"/>
        <w:sz w:val="16"/>
        <w:szCs w:val="16"/>
      </w:rPr>
      <w:tab/>
      <w:t xml:space="preserve">Page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PAGE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r w:rsidR="00486B1A" w:rsidRPr="009F07AA">
      <w:rPr>
        <w:rFonts w:ascii="Arial" w:hAnsi="Arial" w:cs="Arial"/>
        <w:sz w:val="16"/>
        <w:szCs w:val="16"/>
      </w:rPr>
      <w:t xml:space="preserve"> of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NUMPAGES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p>
  <w:p w14:paraId="5CB22A62" w14:textId="0BF9B45D" w:rsidR="00486B1A" w:rsidRPr="009F07AA" w:rsidRDefault="00260C67" w:rsidP="00486B1A">
    <w:pPr>
      <w:pStyle w:val="Footer"/>
      <w:rPr>
        <w:rFonts w:ascii="Arial" w:hAnsi="Arial" w:cs="Arial"/>
        <w:sz w:val="16"/>
        <w:szCs w:val="16"/>
      </w:rPr>
    </w:pPr>
    <w:sdt>
      <w:sdtPr>
        <w:rPr>
          <w:rFonts w:ascii="Arial" w:hAnsi="Arial" w:cs="Arial"/>
          <w:sz w:val="16"/>
          <w:szCs w:val="16"/>
        </w:rPr>
        <w:alias w:val="Company Address"/>
        <w:tag w:val=""/>
        <w:id w:val="-1654979687"/>
        <w:placeholder>
          <w:docPart w:val="7AC7BAE9609C49E19BACDB9196853A01"/>
        </w:placeholder>
        <w:dataBinding w:prefixMappings="xmlns:ns0='http://schemas.microsoft.com/office/2006/coverPageProps' " w:xpath="/ns0:CoverPageProperties[1]/ns0:CompanyAddress[1]" w:storeItemID="{55AF091B-3C7A-41E3-B477-F2FDAA23CFDA}"/>
        <w:text/>
      </w:sdtPr>
      <w:sdtEndPr/>
      <w:sdtContent>
        <w:r w:rsidR="00C40F0C" w:rsidRPr="009F07AA">
          <w:rPr>
            <w:rFonts w:ascii="Arial" w:hAnsi="Arial" w:cs="Arial"/>
            <w:sz w:val="16"/>
            <w:szCs w:val="16"/>
          </w:rPr>
          <w:t>www</w:t>
        </w:r>
        <w:r w:rsidR="000C5C72" w:rsidRPr="009F07AA">
          <w:rPr>
            <w:rFonts w:ascii="Arial" w:hAnsi="Arial" w:cs="Arial"/>
            <w:sz w:val="16"/>
            <w:szCs w:val="16"/>
          </w:rPr>
          <w:t>.velocityc</w:t>
        </w:r>
        <w:r w:rsidR="00FB3F76">
          <w:rPr>
            <w:rFonts w:ascii="Arial" w:hAnsi="Arial" w:cs="Arial"/>
            <w:sz w:val="16"/>
            <w:szCs w:val="16"/>
          </w:rPr>
          <w:t>ivil</w:t>
        </w:r>
        <w:r w:rsidR="000C5C72" w:rsidRPr="009F07AA">
          <w:rPr>
            <w:rFonts w:ascii="Arial" w:hAnsi="Arial" w:cs="Arial"/>
            <w:sz w:val="16"/>
            <w:szCs w:val="16"/>
          </w:rPr>
          <w:t>.com</w:t>
        </w:r>
      </w:sdtContent>
    </w:sdt>
  </w:p>
  <w:p w14:paraId="7A997EE8" w14:textId="77777777" w:rsidR="00486B1A" w:rsidRDefault="00486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BCA1" w14:textId="77777777" w:rsidR="00FB3F76" w:rsidRDefault="00FB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D4F3" w14:textId="77777777" w:rsidR="00260C67" w:rsidRDefault="00260C67" w:rsidP="00486B1A">
      <w:pPr>
        <w:spacing w:after="0" w:line="240" w:lineRule="auto"/>
      </w:pPr>
      <w:r>
        <w:separator/>
      </w:r>
    </w:p>
  </w:footnote>
  <w:footnote w:type="continuationSeparator" w:id="0">
    <w:p w14:paraId="3FA4D8CA" w14:textId="77777777" w:rsidR="00260C67" w:rsidRDefault="00260C67" w:rsidP="0048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A5F" w14:textId="77777777" w:rsidR="00FB3F76" w:rsidRDefault="00FB3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4E37" w14:textId="1A2B5317" w:rsidR="0027164F" w:rsidRPr="0027164F" w:rsidRDefault="0027164F" w:rsidP="00096DDC">
    <w:pPr>
      <w:pStyle w:val="Header"/>
    </w:pPr>
    <w:r>
      <w:rPr>
        <w:noProof/>
      </w:rPr>
      <w:drawing>
        <wp:anchor distT="0" distB="0" distL="114300" distR="114300" simplePos="0" relativeHeight="251658240" behindDoc="0" locked="0" layoutInCell="1" allowOverlap="1" wp14:anchorId="60EEC42B" wp14:editId="1D92C2C6">
          <wp:simplePos x="0" y="0"/>
          <wp:positionH relativeFrom="column">
            <wp:posOffset>-90805</wp:posOffset>
          </wp:positionH>
          <wp:positionV relativeFrom="paragraph">
            <wp:posOffset>-116205</wp:posOffset>
          </wp:positionV>
          <wp:extent cx="681355" cy="733425"/>
          <wp:effectExtent l="0" t="0" r="0" b="9525"/>
          <wp:wrapThrough wrapText="bothSides">
            <wp:wrapPolygon edited="0">
              <wp:start x="4227" y="0"/>
              <wp:lineTo x="2416" y="12343"/>
              <wp:lineTo x="2416" y="17953"/>
              <wp:lineTo x="7851" y="21319"/>
              <wp:lineTo x="8455" y="21319"/>
              <wp:lineTo x="12682" y="21319"/>
              <wp:lineTo x="13286" y="21319"/>
              <wp:lineTo x="18721" y="17953"/>
              <wp:lineTo x="18117" y="11782"/>
              <wp:lineTo x="10870" y="1683"/>
              <wp:lineTo x="7851" y="0"/>
              <wp:lineTo x="4227" y="0"/>
            </wp:wrapPolygon>
          </wp:wrapThrough>
          <wp:docPr id="603502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33425"/>
                  </a:xfrm>
                  <a:prstGeom prst="rect">
                    <a:avLst/>
                  </a:prstGeom>
                  <a:noFill/>
                </pic:spPr>
              </pic:pic>
            </a:graphicData>
          </a:graphic>
          <wp14:sizeRelH relativeFrom="margin">
            <wp14:pctWidth>0</wp14:pctWidth>
          </wp14:sizeRelH>
          <wp14:sizeRelV relativeFrom="margin">
            <wp14:pctHeight>0</wp14:pctHeight>
          </wp14:sizeRelV>
        </wp:anchor>
      </w:drawing>
    </w:r>
    <w:r w:rsidR="00161A59" w:rsidRPr="009B764F">
      <w:rPr>
        <w:rStyle w:val="Heading1Char"/>
      </w:rPr>
      <w:t>Velocity Civil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CA81" w14:textId="77777777" w:rsidR="00FB3F76" w:rsidRDefault="00FB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0D2"/>
    <w:multiLevelType w:val="multilevel"/>
    <w:tmpl w:val="67AA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5177"/>
    <w:multiLevelType w:val="hybridMultilevel"/>
    <w:tmpl w:val="52E46E9C"/>
    <w:lvl w:ilvl="0" w:tplc="90CAFE9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AC1671"/>
    <w:multiLevelType w:val="multilevel"/>
    <w:tmpl w:val="551C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01691"/>
    <w:multiLevelType w:val="multilevel"/>
    <w:tmpl w:val="B8A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E3794"/>
    <w:multiLevelType w:val="multilevel"/>
    <w:tmpl w:val="C9D6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238CA"/>
    <w:multiLevelType w:val="multilevel"/>
    <w:tmpl w:val="D796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30F7F"/>
    <w:multiLevelType w:val="hybridMultilevel"/>
    <w:tmpl w:val="9BDA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DA4014"/>
    <w:multiLevelType w:val="hybridMultilevel"/>
    <w:tmpl w:val="26CCCF88"/>
    <w:lvl w:ilvl="0" w:tplc="90CAFE9C">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24A25A7"/>
    <w:multiLevelType w:val="hybridMultilevel"/>
    <w:tmpl w:val="85B4B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0D6C16"/>
    <w:multiLevelType w:val="hybridMultilevel"/>
    <w:tmpl w:val="995E478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F310AE4"/>
    <w:multiLevelType w:val="hybridMultilevel"/>
    <w:tmpl w:val="1ADA8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1510431">
    <w:abstractNumId w:val="10"/>
  </w:num>
  <w:num w:numId="2" w16cid:durableId="1031759370">
    <w:abstractNumId w:val="6"/>
  </w:num>
  <w:num w:numId="3" w16cid:durableId="366879599">
    <w:abstractNumId w:val="3"/>
  </w:num>
  <w:num w:numId="4" w16cid:durableId="1750036602">
    <w:abstractNumId w:val="8"/>
  </w:num>
  <w:num w:numId="5" w16cid:durableId="1784152799">
    <w:abstractNumId w:val="1"/>
  </w:num>
  <w:num w:numId="6" w16cid:durableId="1349409155">
    <w:abstractNumId w:val="7"/>
  </w:num>
  <w:num w:numId="7" w16cid:durableId="1735467048">
    <w:abstractNumId w:val="9"/>
  </w:num>
  <w:num w:numId="8" w16cid:durableId="1022705684">
    <w:abstractNumId w:val="4"/>
  </w:num>
  <w:num w:numId="9" w16cid:durableId="413015238">
    <w:abstractNumId w:val="2"/>
  </w:num>
  <w:num w:numId="10" w16cid:durableId="870071569">
    <w:abstractNumId w:val="0"/>
  </w:num>
  <w:num w:numId="11" w16cid:durableId="1001155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A"/>
    <w:rsid w:val="000065A0"/>
    <w:rsid w:val="00096DDC"/>
    <w:rsid w:val="000A2741"/>
    <w:rsid w:val="000C5C72"/>
    <w:rsid w:val="00106823"/>
    <w:rsid w:val="00115AD8"/>
    <w:rsid w:val="00117C19"/>
    <w:rsid w:val="00120195"/>
    <w:rsid w:val="00121723"/>
    <w:rsid w:val="00131329"/>
    <w:rsid w:val="00142DB8"/>
    <w:rsid w:val="00161A59"/>
    <w:rsid w:val="001653DA"/>
    <w:rsid w:val="00185216"/>
    <w:rsid w:val="00197061"/>
    <w:rsid w:val="001E41A0"/>
    <w:rsid w:val="0025415F"/>
    <w:rsid w:val="00260C67"/>
    <w:rsid w:val="00267043"/>
    <w:rsid w:val="0027164F"/>
    <w:rsid w:val="002E44D6"/>
    <w:rsid w:val="002F69B6"/>
    <w:rsid w:val="003035CA"/>
    <w:rsid w:val="00344C01"/>
    <w:rsid w:val="00361588"/>
    <w:rsid w:val="00361DDD"/>
    <w:rsid w:val="00382C70"/>
    <w:rsid w:val="003845F2"/>
    <w:rsid w:val="00393E9C"/>
    <w:rsid w:val="003E2684"/>
    <w:rsid w:val="003F2723"/>
    <w:rsid w:val="00446DF8"/>
    <w:rsid w:val="00486B1A"/>
    <w:rsid w:val="004C302A"/>
    <w:rsid w:val="004E357E"/>
    <w:rsid w:val="00511A5A"/>
    <w:rsid w:val="00523612"/>
    <w:rsid w:val="00525B8A"/>
    <w:rsid w:val="00550A1C"/>
    <w:rsid w:val="00551650"/>
    <w:rsid w:val="005B4DBD"/>
    <w:rsid w:val="005B7CDB"/>
    <w:rsid w:val="005D1168"/>
    <w:rsid w:val="006233FD"/>
    <w:rsid w:val="00641638"/>
    <w:rsid w:val="0066026A"/>
    <w:rsid w:val="006710EE"/>
    <w:rsid w:val="00697612"/>
    <w:rsid w:val="006F43E1"/>
    <w:rsid w:val="00706B47"/>
    <w:rsid w:val="007328EF"/>
    <w:rsid w:val="00737689"/>
    <w:rsid w:val="00753994"/>
    <w:rsid w:val="00770ADA"/>
    <w:rsid w:val="00785EF7"/>
    <w:rsid w:val="007E3D4F"/>
    <w:rsid w:val="007F05A3"/>
    <w:rsid w:val="0080098A"/>
    <w:rsid w:val="008049ED"/>
    <w:rsid w:val="0082281D"/>
    <w:rsid w:val="00826789"/>
    <w:rsid w:val="00834A3F"/>
    <w:rsid w:val="00855D80"/>
    <w:rsid w:val="00872CCB"/>
    <w:rsid w:val="008A0E30"/>
    <w:rsid w:val="008F0587"/>
    <w:rsid w:val="00937346"/>
    <w:rsid w:val="009410B3"/>
    <w:rsid w:val="00974CDC"/>
    <w:rsid w:val="00975AA9"/>
    <w:rsid w:val="009B764F"/>
    <w:rsid w:val="009E0037"/>
    <w:rsid w:val="009F07AA"/>
    <w:rsid w:val="009F4F89"/>
    <w:rsid w:val="00A009C3"/>
    <w:rsid w:val="00A1402F"/>
    <w:rsid w:val="00A3685F"/>
    <w:rsid w:val="00A950F8"/>
    <w:rsid w:val="00AC5B34"/>
    <w:rsid w:val="00AF64CD"/>
    <w:rsid w:val="00B3151E"/>
    <w:rsid w:val="00B35F53"/>
    <w:rsid w:val="00B3628D"/>
    <w:rsid w:val="00B3667B"/>
    <w:rsid w:val="00B60463"/>
    <w:rsid w:val="00B8284E"/>
    <w:rsid w:val="00BB50B6"/>
    <w:rsid w:val="00BC48DD"/>
    <w:rsid w:val="00BE3C8E"/>
    <w:rsid w:val="00C06859"/>
    <w:rsid w:val="00C136EB"/>
    <w:rsid w:val="00C13D5B"/>
    <w:rsid w:val="00C20BDA"/>
    <w:rsid w:val="00C2341B"/>
    <w:rsid w:val="00C266C4"/>
    <w:rsid w:val="00C40F0C"/>
    <w:rsid w:val="00C45926"/>
    <w:rsid w:val="00C70351"/>
    <w:rsid w:val="00C82326"/>
    <w:rsid w:val="00CD5F48"/>
    <w:rsid w:val="00CF3773"/>
    <w:rsid w:val="00D0277C"/>
    <w:rsid w:val="00D0342F"/>
    <w:rsid w:val="00D05A5C"/>
    <w:rsid w:val="00D25B15"/>
    <w:rsid w:val="00D37AB3"/>
    <w:rsid w:val="00D50E11"/>
    <w:rsid w:val="00D53B39"/>
    <w:rsid w:val="00D63AE8"/>
    <w:rsid w:val="00D6462E"/>
    <w:rsid w:val="00D67CC1"/>
    <w:rsid w:val="00DD0BF8"/>
    <w:rsid w:val="00DD1823"/>
    <w:rsid w:val="00DE4D47"/>
    <w:rsid w:val="00DF66E3"/>
    <w:rsid w:val="00E210CA"/>
    <w:rsid w:val="00E44BB0"/>
    <w:rsid w:val="00E64AF6"/>
    <w:rsid w:val="00E74EE8"/>
    <w:rsid w:val="00E77496"/>
    <w:rsid w:val="00E82058"/>
    <w:rsid w:val="00E85834"/>
    <w:rsid w:val="00E86A6B"/>
    <w:rsid w:val="00E917B9"/>
    <w:rsid w:val="00E960A7"/>
    <w:rsid w:val="00EE4410"/>
    <w:rsid w:val="00EF5C7D"/>
    <w:rsid w:val="00F13D90"/>
    <w:rsid w:val="00F23749"/>
    <w:rsid w:val="00F30625"/>
    <w:rsid w:val="00F45DC7"/>
    <w:rsid w:val="00FB3F76"/>
    <w:rsid w:val="00FD3298"/>
    <w:rsid w:val="00FE52BC"/>
    <w:rsid w:val="00FF4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62A9"/>
  <w15:chartTrackingRefBased/>
  <w15:docId w15:val="{63E3EDF8-6A85-468F-92F1-AACA90A7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7C"/>
  </w:style>
  <w:style w:type="paragraph" w:styleId="Heading1">
    <w:name w:val="heading 1"/>
    <w:basedOn w:val="Normal"/>
    <w:next w:val="Normal"/>
    <w:link w:val="Heading1Char"/>
    <w:uiPriority w:val="9"/>
    <w:qFormat/>
    <w:rsid w:val="009B764F"/>
    <w:pPr>
      <w:keepNext/>
      <w:keepLines/>
      <w:spacing w:before="360" w:after="80"/>
      <w:outlineLvl w:val="0"/>
    </w:pPr>
    <w:rPr>
      <w:rFonts w:ascii="Abel" w:eastAsiaTheme="majorEastAsia" w:hAnsi="Abel" w:cstheme="majorBidi"/>
      <w:b/>
      <w:color w:val="0F4761" w:themeColor="accent1" w:themeShade="BF"/>
      <w:sz w:val="72"/>
      <w:szCs w:val="40"/>
    </w:rPr>
  </w:style>
  <w:style w:type="paragraph" w:styleId="Heading2">
    <w:name w:val="heading 2"/>
    <w:basedOn w:val="Normal"/>
    <w:next w:val="Normal"/>
    <w:link w:val="Heading2Char"/>
    <w:uiPriority w:val="9"/>
    <w:unhideWhenUsed/>
    <w:qFormat/>
    <w:rsid w:val="0048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4F"/>
    <w:rPr>
      <w:rFonts w:ascii="Abel" w:eastAsiaTheme="majorEastAsia" w:hAnsi="Abel" w:cstheme="majorBidi"/>
      <w:b/>
      <w:color w:val="0F4761" w:themeColor="accent1" w:themeShade="BF"/>
      <w:sz w:val="72"/>
      <w:szCs w:val="40"/>
    </w:rPr>
  </w:style>
  <w:style w:type="character" w:customStyle="1" w:styleId="Heading2Char">
    <w:name w:val="Heading 2 Char"/>
    <w:basedOn w:val="DefaultParagraphFont"/>
    <w:link w:val="Heading2"/>
    <w:uiPriority w:val="9"/>
    <w:rsid w:val="0048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B1A"/>
    <w:rPr>
      <w:rFonts w:eastAsiaTheme="majorEastAsia" w:cstheme="majorBidi"/>
      <w:color w:val="272727" w:themeColor="text1" w:themeTint="D8"/>
    </w:rPr>
  </w:style>
  <w:style w:type="paragraph" w:styleId="Title">
    <w:name w:val="Title"/>
    <w:basedOn w:val="Normal"/>
    <w:next w:val="Normal"/>
    <w:link w:val="TitleChar"/>
    <w:uiPriority w:val="10"/>
    <w:qFormat/>
    <w:rsid w:val="0048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B1A"/>
    <w:pPr>
      <w:spacing w:before="160"/>
      <w:jc w:val="center"/>
    </w:pPr>
    <w:rPr>
      <w:i/>
      <w:iCs/>
      <w:color w:val="404040" w:themeColor="text1" w:themeTint="BF"/>
    </w:rPr>
  </w:style>
  <w:style w:type="character" w:customStyle="1" w:styleId="QuoteChar">
    <w:name w:val="Quote Char"/>
    <w:basedOn w:val="DefaultParagraphFont"/>
    <w:link w:val="Quote"/>
    <w:uiPriority w:val="29"/>
    <w:rsid w:val="00486B1A"/>
    <w:rPr>
      <w:i/>
      <w:iCs/>
      <w:color w:val="404040" w:themeColor="text1" w:themeTint="BF"/>
    </w:rPr>
  </w:style>
  <w:style w:type="paragraph" w:styleId="ListParagraph">
    <w:name w:val="List Paragraph"/>
    <w:basedOn w:val="Normal"/>
    <w:uiPriority w:val="34"/>
    <w:qFormat/>
    <w:rsid w:val="00486B1A"/>
    <w:pPr>
      <w:ind w:left="720"/>
      <w:contextualSpacing/>
    </w:pPr>
  </w:style>
  <w:style w:type="character" w:styleId="IntenseEmphasis">
    <w:name w:val="Intense Emphasis"/>
    <w:basedOn w:val="DefaultParagraphFont"/>
    <w:uiPriority w:val="21"/>
    <w:qFormat/>
    <w:rsid w:val="00486B1A"/>
    <w:rPr>
      <w:i/>
      <w:iCs/>
      <w:color w:val="0F4761" w:themeColor="accent1" w:themeShade="BF"/>
    </w:rPr>
  </w:style>
  <w:style w:type="paragraph" w:styleId="IntenseQuote">
    <w:name w:val="Intense Quote"/>
    <w:basedOn w:val="Normal"/>
    <w:next w:val="Normal"/>
    <w:link w:val="IntenseQuoteChar"/>
    <w:uiPriority w:val="30"/>
    <w:qFormat/>
    <w:rsid w:val="0048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B1A"/>
    <w:rPr>
      <w:i/>
      <w:iCs/>
      <w:color w:val="0F4761" w:themeColor="accent1" w:themeShade="BF"/>
    </w:rPr>
  </w:style>
  <w:style w:type="character" w:styleId="IntenseReference">
    <w:name w:val="Intense Reference"/>
    <w:basedOn w:val="DefaultParagraphFont"/>
    <w:uiPriority w:val="32"/>
    <w:qFormat/>
    <w:rsid w:val="00486B1A"/>
    <w:rPr>
      <w:b/>
      <w:bCs/>
      <w:smallCaps/>
      <w:color w:val="0F4761" w:themeColor="accent1" w:themeShade="BF"/>
      <w:spacing w:val="5"/>
    </w:rPr>
  </w:style>
  <w:style w:type="paragraph" w:styleId="Header">
    <w:name w:val="header"/>
    <w:basedOn w:val="Normal"/>
    <w:link w:val="HeaderChar"/>
    <w:uiPriority w:val="99"/>
    <w:unhideWhenUsed/>
    <w:rsid w:val="00486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B1A"/>
  </w:style>
  <w:style w:type="paragraph" w:styleId="Footer">
    <w:name w:val="footer"/>
    <w:basedOn w:val="Normal"/>
    <w:link w:val="FooterChar"/>
    <w:uiPriority w:val="99"/>
    <w:unhideWhenUsed/>
    <w:rsid w:val="00486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B1A"/>
  </w:style>
  <w:style w:type="character" w:styleId="PlaceholderText">
    <w:name w:val="Placeholder Text"/>
    <w:basedOn w:val="DefaultParagraphFont"/>
    <w:uiPriority w:val="99"/>
    <w:semiHidden/>
    <w:rsid w:val="00486B1A"/>
    <w:rPr>
      <w:color w:val="666666"/>
    </w:rPr>
  </w:style>
  <w:style w:type="paragraph" w:styleId="NormalWeb">
    <w:name w:val="Normal (Web)"/>
    <w:basedOn w:val="Normal"/>
    <w:uiPriority w:val="99"/>
    <w:semiHidden/>
    <w:unhideWhenUsed/>
    <w:rsid w:val="00B35F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6CC39FC3F4F3E9DF750F5CE7130B6"/>
        <w:category>
          <w:name w:val="General"/>
          <w:gallery w:val="placeholder"/>
        </w:category>
        <w:types>
          <w:type w:val="bbPlcHdr"/>
        </w:types>
        <w:behaviors>
          <w:behavior w:val="content"/>
        </w:behaviors>
        <w:guid w:val="{4D4C28E9-72E6-4FED-9585-1A4EBE722809}"/>
      </w:docPartPr>
      <w:docPartBody>
        <w:p w:rsidR="00757F1A" w:rsidRDefault="00026100" w:rsidP="00026100">
          <w:pPr>
            <w:pStyle w:val="6436CC39FC3F4F3E9DF750F5CE7130B6"/>
          </w:pPr>
          <w:r w:rsidRPr="00393763">
            <w:rPr>
              <w:rStyle w:val="PlaceholderText"/>
            </w:rPr>
            <w:t>[Title]</w:t>
          </w:r>
        </w:p>
      </w:docPartBody>
    </w:docPart>
    <w:docPart>
      <w:docPartPr>
        <w:name w:val="7AC7BAE9609C49E19BACDB9196853A01"/>
        <w:category>
          <w:name w:val="General"/>
          <w:gallery w:val="placeholder"/>
        </w:category>
        <w:types>
          <w:type w:val="bbPlcHdr"/>
        </w:types>
        <w:behaviors>
          <w:behavior w:val="content"/>
        </w:behaviors>
        <w:guid w:val="{8E472C6C-E0B5-4F2C-83D6-BE4E1851F919}"/>
      </w:docPartPr>
      <w:docPartBody>
        <w:p w:rsidR="00757F1A" w:rsidRDefault="00026100" w:rsidP="00026100">
          <w:pPr>
            <w:pStyle w:val="7AC7BAE9609C49E19BACDB9196853A01"/>
          </w:pPr>
          <w:r w:rsidRPr="00393763">
            <w:rPr>
              <w:rStyle w:val="PlaceholderText"/>
            </w:rPr>
            <w:t>[Company Address]</w:t>
          </w:r>
        </w:p>
      </w:docPartBody>
    </w:docPart>
    <w:docPart>
      <w:docPartPr>
        <w:name w:val="7CF0D4D55CC344DCA2686DF1180E7B25"/>
        <w:category>
          <w:name w:val="General"/>
          <w:gallery w:val="placeholder"/>
        </w:category>
        <w:types>
          <w:type w:val="bbPlcHdr"/>
        </w:types>
        <w:behaviors>
          <w:behavior w:val="content"/>
        </w:behaviors>
        <w:guid w:val="{135790C9-C0DA-49B2-98F8-255D527159C6}"/>
      </w:docPartPr>
      <w:docPartBody>
        <w:p w:rsidR="00757F1A" w:rsidRDefault="00026100">
          <w:r w:rsidRPr="001716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0"/>
    <w:rsid w:val="00026100"/>
    <w:rsid w:val="00361DDD"/>
    <w:rsid w:val="003772E0"/>
    <w:rsid w:val="00382C70"/>
    <w:rsid w:val="003F3E0B"/>
    <w:rsid w:val="00446DF8"/>
    <w:rsid w:val="0055485D"/>
    <w:rsid w:val="005722B6"/>
    <w:rsid w:val="00757F1A"/>
    <w:rsid w:val="00A009C3"/>
    <w:rsid w:val="00B702B0"/>
    <w:rsid w:val="00B92171"/>
    <w:rsid w:val="00E1130D"/>
    <w:rsid w:val="00E73BF5"/>
    <w:rsid w:val="00F96D32"/>
    <w:rsid w:val="00FB2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30D"/>
    <w:rPr>
      <w:color w:val="666666"/>
    </w:rPr>
  </w:style>
  <w:style w:type="paragraph" w:customStyle="1" w:styleId="6436CC39FC3F4F3E9DF750F5CE7130B6">
    <w:name w:val="6436CC39FC3F4F3E9DF750F5CE7130B6"/>
    <w:rsid w:val="00026100"/>
  </w:style>
  <w:style w:type="paragraph" w:customStyle="1" w:styleId="7AC7BAE9609C49E19BACDB9196853A01">
    <w:name w:val="7AC7BAE9609C49E19BACDB9196853A01"/>
    <w:rsid w:val="00026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www.velocitycivil.com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Section A: Functional Specification Summary</vt:lpstr>
      <vt:lpstr>    Section B: Design Criteria – Geometry and Layout</vt:lpstr>
      <vt:lpstr>    </vt:lpstr>
      <vt:lpstr>    Section C: Design Criteria – Pavement and Materials</vt:lpstr>
      <vt:lpstr>    Section D: Design Criteria – Drainage and Earthworks</vt:lpstr>
      <vt:lpstr>    </vt:lpstr>
      <vt:lpstr>    Section E: Environmental and Cultural Requirements</vt:lpstr>
      <vt:lpstr>    </vt:lpstr>
      <vt:lpstr>    Section F: Construction and Implementation Considerations</vt:lpstr>
      <vt:lpstr>    </vt:lpstr>
      <vt:lpstr>    Section G: Assumptions and Exclusions</vt:lpstr>
      <vt:lpstr>    </vt:lpstr>
      <vt:lpstr>    Section H: Client Confirmation of Design Criteria</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Policy</dc:title>
  <dc:subject/>
  <dc:creator>Karin Florie</dc:creator>
  <cp:keywords/>
  <dc:description/>
  <cp:lastModifiedBy>Karin Florie</cp:lastModifiedBy>
  <cp:revision>17</cp:revision>
  <dcterms:created xsi:type="dcterms:W3CDTF">2026-07-15T00:07:00Z</dcterms:created>
  <dcterms:modified xsi:type="dcterms:W3CDTF">2026-07-15T02:46:00Z</dcterms:modified>
</cp:coreProperties>
</file>